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6D" w:rsidRDefault="00085C6D" w:rsidP="00085C6D">
      <w:pPr>
        <w:pStyle w:val="HeadHatzaotHok"/>
        <w:jc w:val="right"/>
        <w:rPr>
          <w:b w:val="0"/>
          <w:bCs w:val="0"/>
          <w:szCs w:val="20"/>
          <w:rtl/>
        </w:rPr>
      </w:pPr>
      <w:r w:rsidRPr="0000131B">
        <w:rPr>
          <w:rFonts w:hint="cs"/>
          <w:b w:val="0"/>
          <w:bCs w:val="0"/>
          <w:szCs w:val="20"/>
          <w:rtl/>
        </w:rPr>
        <w:t xml:space="preserve">מספר פנימי: </w:t>
      </w:r>
      <w:bookmarkStart w:id="0" w:name="LGS_Internal_ID"/>
      <w:r>
        <w:rPr>
          <w:rFonts w:hint="cs"/>
          <w:b w:val="0"/>
          <w:bCs w:val="0"/>
          <w:szCs w:val="20"/>
          <w:rtl/>
        </w:rPr>
        <w:t>2005826</w:t>
      </w:r>
      <w:bookmarkEnd w:id="0"/>
    </w:p>
    <w:p w:rsidR="00B342B6" w:rsidRPr="00B342B6" w:rsidRDefault="00904E9C" w:rsidP="00085C6D">
      <w:pPr>
        <w:pStyle w:val="HeadHatzaotHok"/>
        <w:jc w:val="right"/>
        <w:rPr>
          <w:sz w:val="24"/>
          <w:szCs w:val="24"/>
          <w:u w:val="single"/>
        </w:rPr>
      </w:pPr>
      <w:bookmarkStart w:id="1" w:name="_GoBack"/>
      <w:r w:rsidRPr="00904E9C">
        <w:rPr>
          <w:rFonts w:hint="cs"/>
          <w:sz w:val="24"/>
          <w:szCs w:val="24"/>
          <w:u w:val="single"/>
          <w:rtl/>
        </w:rPr>
        <w:t>נוסח</w:t>
      </w:r>
      <w:r w:rsidRPr="00904E9C">
        <w:rPr>
          <w:sz w:val="24"/>
          <w:szCs w:val="24"/>
          <w:u w:val="single"/>
          <w:rtl/>
        </w:rPr>
        <w:t xml:space="preserve"> </w:t>
      </w:r>
      <w:r w:rsidRPr="00904E9C">
        <w:rPr>
          <w:rFonts w:hint="cs"/>
          <w:sz w:val="24"/>
          <w:szCs w:val="24"/>
          <w:u w:val="single"/>
          <w:rtl/>
        </w:rPr>
        <w:t>לדיון</w:t>
      </w:r>
      <w:r w:rsidRPr="00904E9C">
        <w:rPr>
          <w:sz w:val="24"/>
          <w:szCs w:val="24"/>
          <w:u w:val="single"/>
          <w:rtl/>
        </w:rPr>
        <w:t xml:space="preserve"> </w:t>
      </w:r>
      <w:r w:rsidRPr="00904E9C">
        <w:rPr>
          <w:rFonts w:hint="cs"/>
          <w:sz w:val="24"/>
          <w:szCs w:val="24"/>
          <w:u w:val="single"/>
          <w:rtl/>
        </w:rPr>
        <w:t>בוועדה</w:t>
      </w:r>
      <w:r w:rsidRPr="00904E9C">
        <w:rPr>
          <w:sz w:val="24"/>
          <w:szCs w:val="24"/>
          <w:u w:val="single"/>
          <w:rtl/>
        </w:rPr>
        <w:t xml:space="preserve"> </w:t>
      </w:r>
      <w:r w:rsidRPr="00904E9C">
        <w:rPr>
          <w:rFonts w:hint="cs"/>
          <w:sz w:val="24"/>
          <w:szCs w:val="24"/>
          <w:u w:val="single"/>
          <w:rtl/>
        </w:rPr>
        <w:t>ב</w:t>
      </w:r>
      <w:r w:rsidRPr="00904E9C">
        <w:rPr>
          <w:sz w:val="24"/>
          <w:szCs w:val="24"/>
          <w:u w:val="single"/>
          <w:rtl/>
        </w:rPr>
        <w:t>-19.7.17</w:t>
      </w:r>
    </w:p>
    <w:bookmarkEnd w:id="1"/>
    <w:p w:rsidR="00085C6D" w:rsidRPr="00DB7060" w:rsidRDefault="00085C6D" w:rsidP="00085C6D">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rsidR="00085C6D" w:rsidRPr="00F67051" w:rsidRDefault="00085C6D" w:rsidP="00085C6D">
      <w:pPr>
        <w:rPr>
          <w:rFonts w:cs="David"/>
          <w:b/>
          <w:bCs/>
          <w:sz w:val="26"/>
          <w:szCs w:val="26"/>
          <w:rtl/>
        </w:rPr>
      </w:pPr>
    </w:p>
    <w:p w:rsidR="00085C6D" w:rsidRPr="00CF1AA2" w:rsidRDefault="00085C6D" w:rsidP="00085C6D">
      <w:pPr>
        <w:pStyle w:val="David"/>
        <w:spacing w:line="360" w:lineRule="auto"/>
        <w:ind w:left="3544"/>
        <w:rPr>
          <w:b/>
          <w:bCs/>
          <w:sz w:val="16"/>
          <w:szCs w:val="16"/>
          <w:rtl/>
        </w:rPr>
      </w:pPr>
      <w:bookmarkStart w:id="3" w:name="LGS_Initiators_List"/>
      <w:r>
        <w:rPr>
          <w:b/>
          <w:bCs/>
          <w:rtl/>
        </w:rPr>
        <w:t>יוזמים:      חברי הכנסת</w:t>
      </w:r>
      <w:bookmarkEnd w:id="3"/>
      <w:r w:rsidRPr="00F67051">
        <w:rPr>
          <w:b/>
          <w:bCs/>
        </w:rPr>
        <w:tab/>
      </w:r>
      <w:bookmarkStart w:id="4" w:name="LGS_PM_Names"/>
      <w:r>
        <w:rPr>
          <w:rFonts w:hint="cs"/>
          <w:b/>
          <w:bCs/>
          <w:rtl/>
        </w:rPr>
        <w:t xml:space="preserve">אורי </w:t>
      </w:r>
      <w:proofErr w:type="spellStart"/>
      <w:r>
        <w:rPr>
          <w:rFonts w:hint="cs"/>
          <w:b/>
          <w:bCs/>
          <w:rtl/>
        </w:rPr>
        <w:t>מקלב</w:t>
      </w:r>
      <w:proofErr w:type="spellEnd"/>
      <w:r>
        <w:br/>
      </w:r>
      <w:r>
        <w:rPr>
          <w:rFonts w:hint="cs"/>
          <w:b/>
          <w:bCs/>
          <w:rtl/>
        </w:rPr>
        <w:t xml:space="preserve"> </w:t>
      </w:r>
      <w:r>
        <w:tab/>
      </w:r>
      <w:r>
        <w:tab/>
      </w:r>
      <w:r>
        <w:tab/>
      </w:r>
      <w:r>
        <w:tab/>
      </w:r>
      <w:r>
        <w:rPr>
          <w:rFonts w:hint="cs"/>
          <w:b/>
          <w:bCs/>
          <w:rtl/>
        </w:rPr>
        <w:t>משה גפני</w:t>
      </w:r>
      <w:r>
        <w:br/>
      </w:r>
      <w:r>
        <w:rPr>
          <w:rFonts w:hint="cs"/>
          <w:b/>
          <w:bCs/>
          <w:rtl/>
        </w:rPr>
        <w:t xml:space="preserve"> </w:t>
      </w:r>
      <w:r>
        <w:tab/>
      </w:r>
      <w:r>
        <w:tab/>
      </w:r>
      <w:r>
        <w:tab/>
      </w:r>
      <w:r>
        <w:tab/>
      </w:r>
      <w:r>
        <w:rPr>
          <w:rFonts w:hint="cs"/>
          <w:b/>
          <w:bCs/>
          <w:rtl/>
        </w:rPr>
        <w:t>יעקב אשר</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יגאל גואטה</w:t>
      </w:r>
      <w:r>
        <w:br/>
      </w:r>
      <w:r>
        <w:rPr>
          <w:rFonts w:hint="cs"/>
          <w:b/>
          <w:bCs/>
          <w:rtl/>
        </w:rPr>
        <w:t xml:space="preserve"> </w:t>
      </w:r>
      <w:r>
        <w:tab/>
      </w:r>
      <w:r>
        <w:tab/>
      </w:r>
      <w:r>
        <w:tab/>
      </w:r>
      <w:r>
        <w:tab/>
      </w:r>
      <w:r>
        <w:rPr>
          <w:rFonts w:hint="cs"/>
          <w:b/>
          <w:bCs/>
          <w:rtl/>
        </w:rPr>
        <w:t>שולי מועלם-רפאלי</w:t>
      </w:r>
      <w:bookmarkStart w:id="5" w:name="LGS_Join_List"/>
      <w:bookmarkEnd w:id="4"/>
      <w:r>
        <w:rPr>
          <w:rtl/>
        </w:rPr>
        <w:t xml:space="preserve"> </w:t>
      </w:r>
      <w:bookmarkEnd w:id="5"/>
      <w:r w:rsidRPr="00CF1AA2">
        <w:rPr>
          <w:rFonts w:hint="cs"/>
          <w:rtl/>
        </w:rPr>
        <w:tab/>
      </w:r>
      <w:bookmarkStart w:id="6" w:name="LGS_PM_NamesJoin"/>
      <w:r>
        <w:rPr>
          <w:rFonts w:hint="cs"/>
          <w:rtl/>
        </w:rPr>
        <w:t xml:space="preserve"> </w:t>
      </w:r>
      <w:bookmarkEnd w:id="6"/>
    </w:p>
    <w:p w:rsidR="00085C6D" w:rsidRPr="00904591" w:rsidRDefault="00085C6D" w:rsidP="00085C6D">
      <w:pPr>
        <w:pStyle w:val="David"/>
        <w:spacing w:before="0" w:line="360" w:lineRule="auto"/>
        <w:ind w:left="3544"/>
        <w:rPr>
          <w:sz w:val="4"/>
          <w:szCs w:val="4"/>
          <w:rtl/>
        </w:rPr>
      </w:pPr>
      <w:r>
        <w:t>______________________________________________</w:t>
      </w:r>
      <w:r w:rsidRPr="00E06736">
        <w:tab/>
      </w:r>
      <w:r w:rsidRPr="00E06736">
        <w:rPr>
          <w:rFonts w:hint="cs"/>
          <w:rtl/>
        </w:rPr>
        <w:tab/>
      </w:r>
      <w:r w:rsidRPr="00E06736">
        <w:rPr>
          <w:rFonts w:hint="cs"/>
          <w:rtl/>
        </w:rPr>
        <w:tab/>
      </w:r>
      <w:r w:rsidRPr="00E06736">
        <w:rPr>
          <w:rFonts w:hint="cs"/>
          <w:rtl/>
        </w:rPr>
        <w:tab/>
      </w:r>
      <w:r>
        <w:t xml:space="preserve">           </w:t>
      </w:r>
    </w:p>
    <w:p w:rsidR="00085C6D" w:rsidRDefault="00085C6D" w:rsidP="00085C6D">
      <w:pPr>
        <w:pStyle w:val="David"/>
        <w:spacing w:before="0" w:line="240" w:lineRule="auto"/>
        <w:ind w:left="3544"/>
        <w:rPr>
          <w:rtl/>
        </w:rPr>
      </w:pPr>
      <w:r>
        <w:t xml:space="preserve">                                             </w:t>
      </w:r>
      <w:bookmarkStart w:id="7" w:name="Private_Number"/>
      <w:r>
        <w:rPr>
          <w:rFonts w:hint="cs"/>
          <w:rtl/>
        </w:rPr>
        <w:t>פ/3371/20</w:t>
      </w:r>
      <w:bookmarkEnd w:id="7"/>
    </w:p>
    <w:p w:rsidR="003E7132" w:rsidRDefault="003E7132" w:rsidP="00085C6D">
      <w:pPr>
        <w:pStyle w:val="David"/>
        <w:spacing w:before="0" w:line="240" w:lineRule="auto"/>
        <w:ind w:left="3544"/>
        <w:rPr>
          <w:rtl/>
        </w:rPr>
      </w:pPr>
    </w:p>
    <w:p w:rsidR="00000000" w:rsidRDefault="00E4467C">
      <w:pPr>
        <w:pStyle w:val="David"/>
        <w:spacing w:before="0" w:line="240" w:lineRule="auto"/>
        <w:ind w:left="3544"/>
        <w:jc w:val="both"/>
        <w:rPr>
          <w:rtl/>
        </w:rPr>
      </w:pPr>
    </w:p>
    <w:p w:rsidR="003E7132" w:rsidRDefault="003E7132" w:rsidP="003E7132">
      <w:pPr>
        <w:pStyle w:val="HeadHatzaotHok"/>
        <w:rPr>
          <w:rtl/>
        </w:rPr>
      </w:pPr>
      <w:bookmarkStart w:id="8" w:name="LGS_Subject"/>
      <w:r>
        <w:rPr>
          <w:rFonts w:hint="cs"/>
          <w:rtl/>
        </w:rPr>
        <w:t>הצעת נוסח אחרי תיאום בין הלשכה המשפטית</w:t>
      </w:r>
      <w:r w:rsidR="009A7B0F">
        <w:rPr>
          <w:rFonts w:hint="cs"/>
          <w:rtl/>
        </w:rPr>
        <w:t xml:space="preserve"> של הכנסת </w:t>
      </w:r>
      <w:r>
        <w:rPr>
          <w:rFonts w:hint="cs"/>
          <w:rtl/>
        </w:rPr>
        <w:t>ו</w:t>
      </w:r>
      <w:r w:rsidR="009A7B0F">
        <w:rPr>
          <w:rFonts w:hint="cs"/>
          <w:rtl/>
        </w:rPr>
        <w:t xml:space="preserve">בין </w:t>
      </w:r>
      <w:r>
        <w:rPr>
          <w:rFonts w:hint="cs"/>
          <w:rtl/>
        </w:rPr>
        <w:t>משרדי הממשלה</w:t>
      </w:r>
    </w:p>
    <w:p w:rsidR="00085C6D" w:rsidRPr="00F67051" w:rsidRDefault="00085C6D" w:rsidP="003E7132">
      <w:pPr>
        <w:pStyle w:val="HeadHatzaotHok"/>
        <w:rPr>
          <w:rtl/>
        </w:rPr>
      </w:pPr>
      <w:r>
        <w:rPr>
          <w:rFonts w:hint="cs"/>
          <w:rtl/>
        </w:rPr>
        <w:t xml:space="preserve">הצעת חוק התקשורת (בזק ושידורים) (תיקון </w:t>
      </w:r>
      <w:r>
        <w:rPr>
          <w:rFonts w:hint="eastAsia"/>
          <w:rtl/>
        </w:rPr>
        <w:t>–</w:t>
      </w:r>
      <w:r>
        <w:rPr>
          <w:rFonts w:hint="cs"/>
          <w:rtl/>
        </w:rPr>
        <w:t xml:space="preserve"> </w:t>
      </w:r>
      <w:r w:rsidR="00904E9C" w:rsidRPr="00904E9C">
        <w:rPr>
          <w:rFonts w:hint="cs"/>
          <w:highlight w:val="cyan"/>
          <w:rtl/>
        </w:rPr>
        <w:t>הרחבת</w:t>
      </w:r>
      <w:r w:rsidR="00904E9C" w:rsidRPr="00904E9C">
        <w:rPr>
          <w:highlight w:val="cyan"/>
          <w:rtl/>
        </w:rPr>
        <w:t xml:space="preserve"> </w:t>
      </w:r>
      <w:r w:rsidR="00904E9C" w:rsidRPr="00904E9C">
        <w:rPr>
          <w:rFonts w:hint="cs"/>
          <w:highlight w:val="cyan"/>
          <w:rtl/>
        </w:rPr>
        <w:t>האיסור</w:t>
      </w:r>
      <w:r w:rsidR="00904E9C" w:rsidRPr="00904E9C">
        <w:rPr>
          <w:highlight w:val="cyan"/>
          <w:rtl/>
        </w:rPr>
        <w:t xml:space="preserve"> </w:t>
      </w:r>
      <w:r w:rsidR="00904E9C" w:rsidRPr="00904E9C">
        <w:rPr>
          <w:rFonts w:hint="cs"/>
          <w:highlight w:val="cyan"/>
          <w:rtl/>
        </w:rPr>
        <w:t>על</w:t>
      </w:r>
      <w:r w:rsidR="00904E9C" w:rsidRPr="00904E9C">
        <w:rPr>
          <w:highlight w:val="cyan"/>
          <w:rtl/>
        </w:rPr>
        <w:t xml:space="preserve"> </w:t>
      </w:r>
      <w:r w:rsidR="00904E9C" w:rsidRPr="00904E9C">
        <w:rPr>
          <w:rFonts w:hint="cs"/>
          <w:highlight w:val="cyan"/>
          <w:rtl/>
        </w:rPr>
        <w:t>שיגור</w:t>
      </w:r>
      <w:r w:rsidR="00904E9C" w:rsidRPr="00904E9C">
        <w:rPr>
          <w:highlight w:val="cyan"/>
          <w:rtl/>
        </w:rPr>
        <w:t xml:space="preserve"> </w:t>
      </w:r>
      <w:r w:rsidR="00904E9C" w:rsidRPr="00904E9C">
        <w:rPr>
          <w:rFonts w:hint="cs"/>
          <w:highlight w:val="cyan"/>
          <w:rtl/>
        </w:rPr>
        <w:t>דבר</w:t>
      </w:r>
      <w:r w:rsidR="00904E9C" w:rsidRPr="00904E9C">
        <w:rPr>
          <w:highlight w:val="cyan"/>
          <w:rtl/>
        </w:rPr>
        <w:t xml:space="preserve"> </w:t>
      </w:r>
      <w:r w:rsidR="00904E9C" w:rsidRPr="00904E9C">
        <w:rPr>
          <w:rFonts w:hint="cs"/>
          <w:highlight w:val="cyan"/>
          <w:rtl/>
        </w:rPr>
        <w:t>פרסומת</w:t>
      </w:r>
      <w:r w:rsidR="003E7132">
        <w:rPr>
          <w:rFonts w:hint="cs"/>
          <w:highlight w:val="cyan"/>
          <w:rtl/>
        </w:rPr>
        <w:t>/</w:t>
      </w:r>
      <w:r>
        <w:rPr>
          <w:rFonts w:hint="cs"/>
          <w:rtl/>
        </w:rPr>
        <w:t xml:space="preserve">), </w:t>
      </w:r>
      <w:proofErr w:type="spellStart"/>
      <w:r>
        <w:rPr>
          <w:rFonts w:hint="cs"/>
          <w:rtl/>
        </w:rPr>
        <w:t>התשע"ז</w:t>
      </w:r>
      <w:r>
        <w:rPr>
          <w:rFonts w:hint="eastAsia"/>
          <w:rtl/>
        </w:rPr>
        <w:t>–</w:t>
      </w:r>
      <w:r>
        <w:rPr>
          <w:rFonts w:hint="cs"/>
          <w:rtl/>
        </w:rPr>
        <w:t>2016</w:t>
      </w:r>
      <w:proofErr w:type="spellEnd"/>
      <w:r>
        <w:rPr>
          <w:rFonts w:hint="cs"/>
          <w:rtl/>
        </w:rPr>
        <w:t xml:space="preserve"> </w:t>
      </w:r>
      <w:bookmarkEnd w:id="8"/>
      <w:r>
        <w:rPr>
          <w:rFonts w:hint="cs"/>
          <w:rtl/>
        </w:rPr>
        <w:t xml:space="preserve"> </w:t>
      </w:r>
    </w:p>
    <w:p w:rsidR="00085C6D" w:rsidRDefault="00085C6D" w:rsidP="00085C6D">
      <w:pPr>
        <w:pStyle w:val="HeadDivreiHesber"/>
        <w:spacing w:before="0" w:after="0"/>
        <w:rPr>
          <w:rtl/>
        </w:rPr>
      </w:pPr>
    </w:p>
    <w:tbl>
      <w:tblPr>
        <w:bidiVisual/>
        <w:tblW w:w="9641" w:type="dxa"/>
        <w:tblLayout w:type="fixed"/>
        <w:tblCellMar>
          <w:top w:w="57" w:type="dxa"/>
          <w:left w:w="0" w:type="dxa"/>
          <w:bottom w:w="57" w:type="dxa"/>
          <w:right w:w="0" w:type="dxa"/>
        </w:tblCellMar>
        <w:tblLook w:val="01E0"/>
      </w:tblPr>
      <w:tblGrid>
        <w:gridCol w:w="1871"/>
        <w:gridCol w:w="624"/>
        <w:gridCol w:w="624"/>
        <w:gridCol w:w="624"/>
        <w:gridCol w:w="624"/>
        <w:gridCol w:w="5274"/>
      </w:tblGrid>
      <w:tr w:rsidR="00085C6D" w:rsidRPr="004B7819" w:rsidTr="002704C9">
        <w:trPr>
          <w:cantSplit/>
        </w:trPr>
        <w:tc>
          <w:tcPr>
            <w:tcW w:w="1871" w:type="dxa"/>
          </w:tcPr>
          <w:p w:rsidR="00085C6D" w:rsidRPr="00FD3736" w:rsidRDefault="00085C6D" w:rsidP="002704C9">
            <w:pPr>
              <w:pStyle w:val="TableSideHeading"/>
              <w:ind w:right="0"/>
            </w:pPr>
            <w:r w:rsidRPr="00FD3736">
              <w:rPr>
                <w:rFonts w:hint="cs"/>
                <w:rtl/>
              </w:rPr>
              <w:t>תיקון סעיף 30א</w:t>
            </w:r>
          </w:p>
        </w:tc>
        <w:tc>
          <w:tcPr>
            <w:tcW w:w="624" w:type="dxa"/>
          </w:tcPr>
          <w:p w:rsidR="00085C6D" w:rsidRPr="004B7819" w:rsidRDefault="00085C6D" w:rsidP="002704C9">
            <w:pPr>
              <w:pStyle w:val="TableText"/>
            </w:pPr>
            <w:r>
              <w:rPr>
                <w:rFonts w:hint="cs"/>
                <w:rtl/>
              </w:rPr>
              <w:t>1.</w:t>
            </w:r>
          </w:p>
        </w:tc>
        <w:tc>
          <w:tcPr>
            <w:tcW w:w="7146" w:type="dxa"/>
            <w:gridSpan w:val="4"/>
          </w:tcPr>
          <w:p w:rsidR="00085C6D" w:rsidRPr="004B7819" w:rsidRDefault="00085C6D" w:rsidP="002704C9">
            <w:pPr>
              <w:pStyle w:val="TableBlock"/>
            </w:pPr>
            <w:r>
              <w:rPr>
                <w:sz w:val="26"/>
                <w:rtl/>
              </w:rPr>
              <w:t xml:space="preserve">בחוק התקשורת (בזק ושידורים), </w:t>
            </w:r>
            <w:proofErr w:type="spellStart"/>
            <w:r>
              <w:rPr>
                <w:sz w:val="26"/>
                <w:rtl/>
              </w:rPr>
              <w:t>התשמ"ב–1982</w:t>
            </w:r>
            <w:proofErr w:type="spellEnd"/>
            <w:r>
              <w:rPr>
                <w:rStyle w:val="a5"/>
                <w:sz w:val="26"/>
                <w:rtl/>
              </w:rPr>
              <w:footnoteReference w:id="1"/>
            </w:r>
            <w:r>
              <w:rPr>
                <w:sz w:val="26"/>
                <w:rtl/>
              </w:rPr>
              <w:t xml:space="preserve">, </w:t>
            </w:r>
            <w:r w:rsidRPr="004B7819">
              <w:rPr>
                <w:rFonts w:hint="cs"/>
                <w:rtl/>
              </w:rPr>
              <w:t xml:space="preserve">בסעיף </w:t>
            </w:r>
            <w:r>
              <w:rPr>
                <w:rFonts w:hint="cs"/>
                <w:rtl/>
              </w:rPr>
              <w:t xml:space="preserve">30א </w:t>
            </w:r>
            <w:r>
              <w:rPr>
                <w:rFonts w:hint="eastAsia"/>
                <w:rtl/>
              </w:rPr>
              <w:t>–</w:t>
            </w:r>
            <w:r>
              <w:rPr>
                <w:rFonts w:hint="cs"/>
                <w:rtl/>
              </w:rPr>
              <w:t xml:space="preserve"> </w:t>
            </w:r>
          </w:p>
        </w:tc>
      </w:tr>
      <w:tr w:rsidR="00085C6D" w:rsidTr="002704C9">
        <w:trPr>
          <w:cantSplit/>
        </w:trPr>
        <w:tc>
          <w:tcPr>
            <w:tcW w:w="1871" w:type="dxa"/>
          </w:tcPr>
          <w:p w:rsidR="00085C6D" w:rsidRPr="00FD3736" w:rsidRDefault="00085C6D" w:rsidP="002704C9">
            <w:pPr>
              <w:pStyle w:val="TableSideHeading"/>
              <w:ind w:right="0"/>
              <w:rPr>
                <w:rtl/>
              </w:rPr>
            </w:pPr>
          </w:p>
        </w:tc>
        <w:tc>
          <w:tcPr>
            <w:tcW w:w="624" w:type="dxa"/>
          </w:tcPr>
          <w:p w:rsidR="00085C6D" w:rsidRPr="004B7819" w:rsidRDefault="00085C6D" w:rsidP="002704C9">
            <w:pPr>
              <w:pStyle w:val="TableText"/>
              <w:rPr>
                <w:rtl/>
              </w:rPr>
            </w:pPr>
          </w:p>
        </w:tc>
        <w:tc>
          <w:tcPr>
            <w:tcW w:w="7146" w:type="dxa"/>
            <w:gridSpan w:val="4"/>
          </w:tcPr>
          <w:p w:rsidR="00085C6D" w:rsidRDefault="00085C6D" w:rsidP="002704C9">
            <w:pPr>
              <w:pStyle w:val="TableBlock"/>
              <w:rPr>
                <w:sz w:val="26"/>
                <w:rtl/>
              </w:rPr>
            </w:pPr>
            <w:r>
              <w:rPr>
                <w:rFonts w:hint="cs"/>
                <w:sz w:val="26"/>
                <w:rtl/>
              </w:rPr>
              <w:t>(1)</w:t>
            </w:r>
            <w:r>
              <w:rPr>
                <w:sz w:val="26"/>
                <w:rtl/>
              </w:rPr>
              <w:tab/>
            </w:r>
            <w:r>
              <w:rPr>
                <w:rFonts w:hint="cs"/>
                <w:sz w:val="26"/>
                <w:rtl/>
              </w:rPr>
              <w:t xml:space="preserve">בסעיף קטן (א) </w:t>
            </w:r>
            <w:r>
              <w:rPr>
                <w:rFonts w:hint="eastAsia"/>
                <w:sz w:val="26"/>
                <w:rtl/>
              </w:rPr>
              <w:t>–</w:t>
            </w:r>
            <w:r>
              <w:rPr>
                <w:rFonts w:hint="cs"/>
                <w:sz w:val="26"/>
                <w:rtl/>
              </w:rPr>
              <w:t xml:space="preserve"> </w:t>
            </w:r>
          </w:p>
        </w:tc>
      </w:tr>
      <w:tr w:rsidR="00085C6D" w:rsidTr="002704C9">
        <w:trPr>
          <w:cantSplit/>
          <w:trHeight w:val="60"/>
        </w:trPr>
        <w:tc>
          <w:tcPr>
            <w:tcW w:w="1871" w:type="dxa"/>
          </w:tcPr>
          <w:p w:rsidR="00085C6D" w:rsidRDefault="00085C6D" w:rsidP="002704C9">
            <w:pPr>
              <w:pStyle w:val="TableSideHeading"/>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522" w:type="dxa"/>
            <w:gridSpan w:val="3"/>
          </w:tcPr>
          <w:p w:rsidR="00000000" w:rsidRDefault="00085C6D">
            <w:pPr>
              <w:pStyle w:val="TableBlock"/>
            </w:pPr>
            <w:r>
              <w:rPr>
                <w:rFonts w:hint="cs"/>
                <w:rtl/>
              </w:rPr>
              <w:t>(א)</w:t>
            </w:r>
            <w:r>
              <w:rPr>
                <w:rtl/>
              </w:rPr>
              <w:tab/>
            </w:r>
            <w:r>
              <w:rPr>
                <w:rFonts w:hint="cs"/>
                <w:sz w:val="26"/>
                <w:rtl/>
              </w:rPr>
              <w:t xml:space="preserve">בהגדרה "דבר פרסומת" </w:t>
            </w:r>
            <w:r>
              <w:rPr>
                <w:rFonts w:hint="eastAsia"/>
                <w:sz w:val="26"/>
                <w:rtl/>
              </w:rPr>
              <w:t>–</w:t>
            </w:r>
          </w:p>
        </w:tc>
      </w:tr>
      <w:tr w:rsidR="00085C6D" w:rsidTr="002704C9">
        <w:trPr>
          <w:cantSplit/>
          <w:trHeight w:val="60"/>
        </w:trPr>
        <w:tc>
          <w:tcPr>
            <w:tcW w:w="1871" w:type="dxa"/>
          </w:tcPr>
          <w:p w:rsidR="00085C6D" w:rsidRDefault="00085C6D" w:rsidP="002704C9">
            <w:pPr>
              <w:pStyle w:val="TableSideHeading"/>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5898" w:type="dxa"/>
            <w:gridSpan w:val="2"/>
          </w:tcPr>
          <w:p w:rsidR="00000000" w:rsidRDefault="00085C6D">
            <w:pPr>
              <w:pStyle w:val="TableBlock"/>
            </w:pPr>
            <w:r>
              <w:rPr>
                <w:rFonts w:hint="cs"/>
                <w:rtl/>
              </w:rPr>
              <w:t>(1)</w:t>
            </w:r>
            <w:r>
              <w:rPr>
                <w:sz w:val="26"/>
                <w:rtl/>
              </w:rPr>
              <w:tab/>
            </w:r>
            <w:r>
              <w:rPr>
                <w:rFonts w:hint="cs"/>
                <w:sz w:val="26"/>
                <w:rtl/>
              </w:rPr>
              <w:t>לפני "מסר המופץ באופן מסחרי" יבוא "כל אחד מאלה:";</w:t>
            </w:r>
          </w:p>
        </w:tc>
      </w:tr>
      <w:tr w:rsidR="00085C6D" w:rsidTr="002704C9">
        <w:trPr>
          <w:cantSplit/>
          <w:trHeight w:val="60"/>
        </w:trPr>
        <w:tc>
          <w:tcPr>
            <w:tcW w:w="1871" w:type="dxa"/>
          </w:tcPr>
          <w:p w:rsidR="00085C6D" w:rsidRDefault="00085C6D" w:rsidP="002704C9">
            <w:pPr>
              <w:pStyle w:val="TableSideHeading"/>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5898" w:type="dxa"/>
            <w:gridSpan w:val="2"/>
          </w:tcPr>
          <w:p w:rsidR="00085C6D" w:rsidRDefault="00085C6D" w:rsidP="002704C9">
            <w:pPr>
              <w:pStyle w:val="TableBlock"/>
              <w:rPr>
                <w:rtl/>
              </w:rPr>
            </w:pPr>
            <w:r>
              <w:rPr>
                <w:rFonts w:hint="cs"/>
                <w:rtl/>
              </w:rPr>
              <w:t>(2)</w:t>
            </w:r>
            <w:r>
              <w:rPr>
                <w:rtl/>
              </w:rPr>
              <w:tab/>
            </w:r>
            <w:r>
              <w:rPr>
                <w:rFonts w:hint="cs"/>
                <w:rtl/>
              </w:rPr>
              <w:t>הקטע החל במילים "מסר המופץ באופן מסחרי" ועד המילים "בדרך אחרת" יסומן כפסקה "(1)";</w:t>
            </w:r>
          </w:p>
        </w:tc>
      </w:tr>
      <w:tr w:rsidR="00085C6D" w:rsidTr="002704C9">
        <w:trPr>
          <w:cantSplit/>
          <w:trHeight w:val="60"/>
        </w:trPr>
        <w:tc>
          <w:tcPr>
            <w:tcW w:w="1871" w:type="dxa"/>
          </w:tcPr>
          <w:p w:rsidR="00085C6D" w:rsidRDefault="00085C6D" w:rsidP="002704C9">
            <w:pPr>
              <w:pStyle w:val="TableSideHeading"/>
            </w:pPr>
          </w:p>
        </w:tc>
        <w:tc>
          <w:tcPr>
            <w:tcW w:w="624" w:type="dxa"/>
          </w:tcPr>
          <w:p w:rsidR="00000000" w:rsidRDefault="00E4467C">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5898" w:type="dxa"/>
            <w:gridSpan w:val="2"/>
          </w:tcPr>
          <w:p w:rsidR="00085C6D" w:rsidRDefault="00085C6D" w:rsidP="002704C9">
            <w:pPr>
              <w:pStyle w:val="TableBlock"/>
              <w:rPr>
                <w:rtl/>
              </w:rPr>
            </w:pPr>
            <w:r>
              <w:rPr>
                <w:rFonts w:hint="cs"/>
                <w:rtl/>
              </w:rPr>
              <w:t>(3)</w:t>
            </w:r>
            <w:r>
              <w:rPr>
                <w:rtl/>
              </w:rPr>
              <w:tab/>
            </w:r>
            <w:r>
              <w:rPr>
                <w:rFonts w:hint="cs"/>
                <w:rtl/>
              </w:rPr>
              <w:t xml:space="preserve">הקטע החל במילים "וכן מסר המופץ לציבור" עד המילים "או תעמולה" יסומן כפסקה "(2), ובה המילה "וכן" </w:t>
            </w:r>
            <w:r>
              <w:rPr>
                <w:rtl/>
              </w:rPr>
              <w:t>–</w:t>
            </w:r>
            <w:r>
              <w:rPr>
                <w:rFonts w:hint="cs"/>
                <w:rtl/>
              </w:rPr>
              <w:t xml:space="preserve"> תימחק;</w:t>
            </w:r>
          </w:p>
        </w:tc>
      </w:tr>
      <w:tr w:rsidR="00085C6D" w:rsidTr="002704C9">
        <w:trPr>
          <w:cantSplit/>
          <w:trHeight w:val="60"/>
        </w:trPr>
        <w:tc>
          <w:tcPr>
            <w:tcW w:w="1871" w:type="dxa"/>
          </w:tcPr>
          <w:p w:rsidR="00085C6D" w:rsidRDefault="00085C6D" w:rsidP="002704C9">
            <w:pPr>
              <w:pStyle w:val="TableSideHeading"/>
            </w:pPr>
          </w:p>
        </w:tc>
        <w:tc>
          <w:tcPr>
            <w:tcW w:w="624" w:type="dxa"/>
          </w:tcPr>
          <w:p w:rsidR="00000000" w:rsidRDefault="00E4467C">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5898" w:type="dxa"/>
            <w:gridSpan w:val="2"/>
          </w:tcPr>
          <w:p w:rsidR="00085C6D" w:rsidRDefault="00085C6D" w:rsidP="002704C9">
            <w:pPr>
              <w:pStyle w:val="TableBlock"/>
              <w:rPr>
                <w:rtl/>
              </w:rPr>
            </w:pPr>
            <w:r>
              <w:rPr>
                <w:rFonts w:hint="cs"/>
                <w:rtl/>
              </w:rPr>
              <w:t>(4)</w:t>
            </w:r>
            <w:r>
              <w:rPr>
                <w:rtl/>
              </w:rPr>
              <w:tab/>
            </w:r>
            <w:r>
              <w:rPr>
                <w:rFonts w:hint="cs"/>
                <w:rtl/>
              </w:rPr>
              <w:t>אחרי פסקה (2) יבוא:</w:t>
            </w:r>
          </w:p>
        </w:tc>
      </w:tr>
      <w:tr w:rsidR="00085C6D" w:rsidTr="002704C9">
        <w:trPr>
          <w:cantSplit/>
          <w:trHeight w:val="60"/>
        </w:trPr>
        <w:tc>
          <w:tcPr>
            <w:tcW w:w="1871" w:type="dxa"/>
          </w:tcPr>
          <w:p w:rsidR="00085C6D" w:rsidRDefault="00085C6D" w:rsidP="002704C9">
            <w:pPr>
              <w:pStyle w:val="TableSideHeading"/>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5274" w:type="dxa"/>
          </w:tcPr>
          <w:p w:rsidR="00085C6D" w:rsidRDefault="00085C6D" w:rsidP="003E7132">
            <w:pPr>
              <w:pStyle w:val="TableBlock"/>
            </w:pPr>
            <w:r>
              <w:rPr>
                <w:rFonts w:hint="cs"/>
                <w:rtl/>
              </w:rPr>
              <w:t>"(3)</w:t>
            </w:r>
            <w:r>
              <w:rPr>
                <w:rtl/>
              </w:rPr>
              <w:tab/>
            </w:r>
            <w:r>
              <w:rPr>
                <w:rFonts w:hint="cs"/>
                <w:sz w:val="26"/>
                <w:rtl/>
              </w:rPr>
              <w:t>מסר המופץ לציבור הרחב</w:t>
            </w:r>
            <w:r w:rsidRPr="0061578D">
              <w:rPr>
                <w:rFonts w:hint="cs"/>
                <w:sz w:val="26"/>
                <w:rtl/>
              </w:rPr>
              <w:t>, הכולל הצעה</w:t>
            </w:r>
            <w:r w:rsidRPr="00DE0E18">
              <w:rPr>
                <w:sz w:val="26"/>
                <w:rtl/>
              </w:rPr>
              <w:t xml:space="preserve"> </w:t>
            </w:r>
            <w:r w:rsidRPr="00DE0E18">
              <w:rPr>
                <w:rFonts w:hint="eastAsia"/>
                <w:sz w:val="26"/>
                <w:rtl/>
              </w:rPr>
              <w:t>לנמען</w:t>
            </w:r>
            <w:r w:rsidRPr="00DE0E18">
              <w:rPr>
                <w:sz w:val="26"/>
                <w:rtl/>
              </w:rPr>
              <w:t xml:space="preserve"> </w:t>
            </w:r>
            <w:r w:rsidRPr="00DE0E18">
              <w:rPr>
                <w:rFonts w:hint="eastAsia"/>
                <w:sz w:val="26"/>
                <w:rtl/>
              </w:rPr>
              <w:t>להתקשר</w:t>
            </w:r>
            <w:r w:rsidRPr="00DE0E18">
              <w:rPr>
                <w:sz w:val="26"/>
                <w:rtl/>
              </w:rPr>
              <w:t xml:space="preserve"> למספר </w:t>
            </w:r>
            <w:r w:rsidRPr="00DE0E18">
              <w:rPr>
                <w:rFonts w:hint="eastAsia"/>
                <w:sz w:val="26"/>
                <w:rtl/>
              </w:rPr>
              <w:t>טלפון</w:t>
            </w:r>
            <w:r w:rsidRPr="00DE0E18">
              <w:rPr>
                <w:sz w:val="26"/>
                <w:rtl/>
              </w:rPr>
              <w:t xml:space="preserve"> </w:t>
            </w:r>
            <w:r>
              <w:rPr>
                <w:rFonts w:hint="cs"/>
                <w:sz w:val="26"/>
                <w:rtl/>
              </w:rPr>
              <w:t xml:space="preserve">מסוים </w:t>
            </w:r>
            <w:r w:rsidRPr="00DE0E18">
              <w:rPr>
                <w:sz w:val="26"/>
                <w:rtl/>
              </w:rPr>
              <w:t xml:space="preserve">לשם </w:t>
            </w:r>
            <w:r w:rsidRPr="00DE0E18">
              <w:rPr>
                <w:rFonts w:hint="eastAsia"/>
                <w:sz w:val="26"/>
                <w:rtl/>
              </w:rPr>
              <w:t>קבלת</w:t>
            </w:r>
            <w:r w:rsidRPr="00DE0E18">
              <w:rPr>
                <w:sz w:val="26"/>
                <w:rtl/>
              </w:rPr>
              <w:t xml:space="preserve"> </w:t>
            </w:r>
            <w:r w:rsidRPr="00DE0E18">
              <w:rPr>
                <w:rFonts w:hint="eastAsia"/>
                <w:sz w:val="26"/>
                <w:rtl/>
              </w:rPr>
              <w:t>מסר</w:t>
            </w:r>
            <w:r w:rsidRPr="00DE0E18">
              <w:rPr>
                <w:sz w:val="26"/>
                <w:rtl/>
              </w:rPr>
              <w:t xml:space="preserve">, </w:t>
            </w:r>
            <w:r w:rsidRPr="00DE0E18">
              <w:rPr>
                <w:rFonts w:hint="eastAsia"/>
                <w:sz w:val="26"/>
                <w:rtl/>
              </w:rPr>
              <w:t>למעט</w:t>
            </w:r>
            <w:r w:rsidRPr="00DE0E18">
              <w:rPr>
                <w:sz w:val="26"/>
                <w:rtl/>
              </w:rPr>
              <w:t xml:space="preserve"> </w:t>
            </w:r>
            <w:r w:rsidRPr="00DE0E18">
              <w:rPr>
                <w:rFonts w:hint="eastAsia"/>
                <w:sz w:val="26"/>
                <w:rtl/>
              </w:rPr>
              <w:t>מס</w:t>
            </w:r>
            <w:r>
              <w:rPr>
                <w:rFonts w:hint="cs"/>
                <w:sz w:val="26"/>
                <w:rtl/>
              </w:rPr>
              <w:t>ר</w:t>
            </w:r>
            <w:r w:rsidRPr="00DE0E18">
              <w:rPr>
                <w:sz w:val="26"/>
                <w:rtl/>
              </w:rPr>
              <w:t xml:space="preserve"> </w:t>
            </w:r>
            <w:r w:rsidRPr="00DE0E18">
              <w:rPr>
                <w:rFonts w:hint="eastAsia"/>
                <w:sz w:val="26"/>
                <w:rtl/>
              </w:rPr>
              <w:t>כאמור</w:t>
            </w:r>
            <w:r w:rsidRPr="00DE0E18">
              <w:rPr>
                <w:sz w:val="26"/>
                <w:rtl/>
              </w:rPr>
              <w:t xml:space="preserve"> </w:t>
            </w:r>
            <w:r w:rsidRPr="00DE0E18">
              <w:rPr>
                <w:rFonts w:hint="eastAsia"/>
                <w:sz w:val="26"/>
                <w:rtl/>
              </w:rPr>
              <w:t>מ</w:t>
            </w:r>
            <w:r>
              <w:rPr>
                <w:rFonts w:hint="cs"/>
                <w:sz w:val="26"/>
                <w:rtl/>
              </w:rPr>
              <w:t xml:space="preserve">את המדינה ומוסדותיה, או מסר כאמור שתכליתו העברת מידע ששלח גוף הצלה </w:t>
            </w:r>
            <w:r>
              <w:rPr>
                <w:rFonts w:hint="cs"/>
                <w:rtl/>
              </w:rPr>
              <w:t xml:space="preserve">כהגדרתו בפקודת המשטרה [נוסח חדש], </w:t>
            </w:r>
            <w:proofErr w:type="spellStart"/>
            <w:r>
              <w:rPr>
                <w:rFonts w:hint="cs"/>
                <w:rtl/>
              </w:rPr>
              <w:t>התשל"א</w:t>
            </w:r>
            <w:r>
              <w:rPr>
                <w:rFonts w:hint="eastAsia"/>
                <w:rtl/>
              </w:rPr>
              <w:t>–</w:t>
            </w:r>
            <w:r>
              <w:rPr>
                <w:rFonts w:hint="cs"/>
                <w:rtl/>
              </w:rPr>
              <w:t>1971</w:t>
            </w:r>
            <w:proofErr w:type="spellEnd"/>
            <w:r>
              <w:rPr>
                <w:rStyle w:val="a5"/>
                <w:rtl/>
              </w:rPr>
              <w:footnoteReference w:id="2"/>
            </w:r>
            <w:r>
              <w:rPr>
                <w:rFonts w:hint="cs"/>
                <w:sz w:val="26"/>
                <w:rtl/>
              </w:rPr>
              <w:t>, לשם מילוי תפקידו;"</w:t>
            </w:r>
            <w:r>
              <w:rPr>
                <w:rFonts w:hint="cs"/>
                <w:rtl/>
              </w:rPr>
              <w:t>;</w:t>
            </w:r>
          </w:p>
        </w:tc>
      </w:tr>
      <w:tr w:rsidR="00085C6D" w:rsidTr="002704C9">
        <w:trPr>
          <w:cantSplit/>
          <w:trHeight w:val="60"/>
        </w:trPr>
        <w:tc>
          <w:tcPr>
            <w:tcW w:w="1871" w:type="dxa"/>
          </w:tcPr>
          <w:p w:rsidR="00085C6D" w:rsidRDefault="00085C6D" w:rsidP="002704C9">
            <w:pPr>
              <w:pStyle w:val="TableSideHeading"/>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522" w:type="dxa"/>
            <w:gridSpan w:val="3"/>
          </w:tcPr>
          <w:p w:rsidR="00085C6D" w:rsidRDefault="00085C6D" w:rsidP="002704C9">
            <w:pPr>
              <w:pStyle w:val="TableBlock"/>
              <w:rPr>
                <w:rtl/>
              </w:rPr>
            </w:pPr>
            <w:r>
              <w:rPr>
                <w:rFonts w:hint="cs"/>
                <w:rtl/>
              </w:rPr>
              <w:t>(ב)</w:t>
            </w:r>
            <w:r>
              <w:rPr>
                <w:rtl/>
              </w:rPr>
              <w:tab/>
            </w:r>
            <w:r>
              <w:rPr>
                <w:rFonts w:hint="cs"/>
                <w:rtl/>
              </w:rPr>
              <w:t>אחרי ההגדרה "הודעת מסר קצר" יבוא:</w:t>
            </w:r>
          </w:p>
        </w:tc>
      </w:tr>
      <w:tr w:rsidR="00085C6D" w:rsidTr="002704C9">
        <w:trPr>
          <w:cantSplit/>
          <w:trHeight w:val="60"/>
        </w:trPr>
        <w:tc>
          <w:tcPr>
            <w:tcW w:w="1871" w:type="dxa"/>
          </w:tcPr>
          <w:p w:rsidR="00085C6D" w:rsidRDefault="00085C6D" w:rsidP="002704C9">
            <w:pPr>
              <w:pStyle w:val="TableSideHeading"/>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624" w:type="dxa"/>
          </w:tcPr>
          <w:p w:rsidR="00085C6D" w:rsidRDefault="00085C6D" w:rsidP="002704C9">
            <w:pPr>
              <w:pStyle w:val="TableText"/>
            </w:pPr>
          </w:p>
        </w:tc>
        <w:tc>
          <w:tcPr>
            <w:tcW w:w="5898" w:type="dxa"/>
            <w:gridSpan w:val="2"/>
          </w:tcPr>
          <w:p w:rsidR="00000000" w:rsidRDefault="00085C6D">
            <w:pPr>
              <w:pStyle w:val="TableBlockOutdent"/>
            </w:pPr>
            <w:r>
              <w:rPr>
                <w:rFonts w:hint="cs"/>
                <w:rtl/>
              </w:rPr>
              <w:t>"המדינה</w:t>
            </w:r>
            <w:r w:rsidR="001B4881">
              <w:rPr>
                <w:rFonts w:hint="cs"/>
                <w:rtl/>
              </w:rPr>
              <w:t xml:space="preserve"> </w:t>
            </w:r>
            <w:r>
              <w:rPr>
                <w:rFonts w:hint="cs"/>
                <w:rtl/>
              </w:rPr>
              <w:t xml:space="preserve">ומוסדותיה" </w:t>
            </w:r>
            <w:r>
              <w:rPr>
                <w:rtl/>
              </w:rPr>
              <w:t>–</w:t>
            </w:r>
            <w:r>
              <w:rPr>
                <w:rFonts w:hint="cs"/>
                <w:rtl/>
              </w:rPr>
              <w:t xml:space="preserve"> הממשלה ומשרדי הממשלה, לרבות יחידותיהם ויחידות הסמך שלהם, משטרת ישראל, בתי משפט ובתי דין, המוסד לביטוח לאומי, או גוף ציבורי אחר שקבע השר, באישור ועדת הכלכלה של הכנסת;";</w:t>
            </w:r>
          </w:p>
        </w:tc>
      </w:tr>
      <w:tr w:rsidR="00085C6D" w:rsidTr="002704C9">
        <w:trPr>
          <w:cantSplit/>
        </w:trPr>
        <w:tc>
          <w:tcPr>
            <w:tcW w:w="1871" w:type="dxa"/>
          </w:tcPr>
          <w:p w:rsidR="00085C6D" w:rsidRDefault="00085C6D" w:rsidP="002704C9">
            <w:pPr>
              <w:pStyle w:val="TableSideHeading"/>
              <w:rPr>
                <w:rtl/>
              </w:rPr>
            </w:pPr>
          </w:p>
        </w:tc>
        <w:tc>
          <w:tcPr>
            <w:tcW w:w="624" w:type="dxa"/>
          </w:tcPr>
          <w:p w:rsidR="00085C6D" w:rsidRDefault="00085C6D" w:rsidP="002704C9">
            <w:pPr>
              <w:pStyle w:val="TableText"/>
            </w:pPr>
          </w:p>
        </w:tc>
        <w:tc>
          <w:tcPr>
            <w:tcW w:w="7146" w:type="dxa"/>
            <w:gridSpan w:val="4"/>
          </w:tcPr>
          <w:p w:rsidR="00000000" w:rsidRDefault="00085C6D">
            <w:pPr>
              <w:pStyle w:val="TableText"/>
              <w:ind w:right="0"/>
              <w:jc w:val="both"/>
              <w:rPr>
                <w:rtl/>
              </w:rPr>
            </w:pPr>
            <w:r w:rsidRPr="00946ABB">
              <w:rPr>
                <w:rtl/>
              </w:rPr>
              <w:t>(2)</w:t>
            </w:r>
            <w:r w:rsidRPr="00946ABB">
              <w:rPr>
                <w:rtl/>
              </w:rPr>
              <w:tab/>
            </w:r>
            <w:r w:rsidRPr="00946ABB">
              <w:rPr>
                <w:rFonts w:hint="eastAsia"/>
                <w:rtl/>
              </w:rPr>
              <w:t>בסעיף</w:t>
            </w:r>
            <w:r w:rsidRPr="00946ABB">
              <w:rPr>
                <w:rtl/>
              </w:rPr>
              <w:t xml:space="preserve"> </w:t>
            </w:r>
            <w:r w:rsidRPr="00946ABB">
              <w:rPr>
                <w:rFonts w:hint="eastAsia"/>
                <w:rtl/>
              </w:rPr>
              <w:t>קטן</w:t>
            </w:r>
            <w:r w:rsidRPr="00946ABB">
              <w:rPr>
                <w:rtl/>
              </w:rPr>
              <w:t xml:space="preserve"> (ב), </w:t>
            </w:r>
            <w:r w:rsidRPr="00946ABB">
              <w:rPr>
                <w:rFonts w:hint="eastAsia"/>
                <w:rtl/>
              </w:rPr>
              <w:t>בסופו</w:t>
            </w:r>
            <w:r w:rsidRPr="00946ABB">
              <w:rPr>
                <w:rtl/>
              </w:rPr>
              <w:t xml:space="preserve"> </w:t>
            </w:r>
            <w:r w:rsidRPr="00946ABB">
              <w:rPr>
                <w:rFonts w:hint="eastAsia"/>
                <w:rtl/>
              </w:rPr>
              <w:t>יבוא</w:t>
            </w:r>
            <w:r w:rsidRPr="00946ABB">
              <w:rPr>
                <w:rtl/>
              </w:rPr>
              <w:t xml:space="preserve"> </w:t>
            </w:r>
            <w:r>
              <w:rPr>
                <w:rFonts w:hint="cs"/>
                <w:rtl/>
              </w:rPr>
              <w:t>"</w:t>
            </w:r>
            <w:r w:rsidRPr="00946ABB">
              <w:rPr>
                <w:rFonts w:hint="eastAsia"/>
                <w:rtl/>
              </w:rPr>
              <w:t>חיוג</w:t>
            </w:r>
            <w:r w:rsidRPr="00946ABB">
              <w:rPr>
                <w:rtl/>
              </w:rPr>
              <w:t xml:space="preserve"> </w:t>
            </w:r>
            <w:r w:rsidRPr="00946ABB">
              <w:rPr>
                <w:rFonts w:hint="eastAsia"/>
                <w:rtl/>
              </w:rPr>
              <w:t>לנמען</w:t>
            </w:r>
            <w:r w:rsidRPr="00946ABB">
              <w:rPr>
                <w:rtl/>
              </w:rPr>
              <w:t xml:space="preserve"> </w:t>
            </w:r>
            <w:r w:rsidRPr="00946ABB">
              <w:rPr>
                <w:rFonts w:hint="eastAsia"/>
                <w:rtl/>
              </w:rPr>
              <w:t>באמצעות</w:t>
            </w:r>
            <w:r w:rsidRPr="00946ABB">
              <w:rPr>
                <w:rtl/>
              </w:rPr>
              <w:t xml:space="preserve"> </w:t>
            </w:r>
            <w:r w:rsidRPr="00946ABB">
              <w:rPr>
                <w:rFonts w:hint="eastAsia"/>
                <w:rtl/>
              </w:rPr>
              <w:t>מערכת</w:t>
            </w:r>
            <w:r w:rsidRPr="00946ABB">
              <w:rPr>
                <w:rtl/>
              </w:rPr>
              <w:t xml:space="preserve"> </w:t>
            </w:r>
            <w:r w:rsidRPr="00946ABB">
              <w:rPr>
                <w:rFonts w:hint="eastAsia"/>
                <w:rtl/>
              </w:rPr>
              <w:t>חיוג</w:t>
            </w:r>
            <w:r w:rsidRPr="00946ABB">
              <w:rPr>
                <w:rtl/>
              </w:rPr>
              <w:t xml:space="preserve"> </w:t>
            </w:r>
            <w:r w:rsidRPr="00946ABB">
              <w:rPr>
                <w:rFonts w:hint="eastAsia"/>
                <w:rtl/>
              </w:rPr>
              <w:t>אוטומטי</w:t>
            </w:r>
            <w:r w:rsidRPr="00946ABB">
              <w:rPr>
                <w:rtl/>
              </w:rPr>
              <w:t xml:space="preserve"> </w:t>
            </w:r>
            <w:r>
              <w:rPr>
                <w:rFonts w:hint="cs"/>
                <w:rtl/>
              </w:rPr>
              <w:t>ייחשב הפרה של הוראות</w:t>
            </w:r>
            <w:r w:rsidRPr="00946ABB">
              <w:rPr>
                <w:rtl/>
              </w:rPr>
              <w:t xml:space="preserve"> </w:t>
            </w:r>
            <w:r w:rsidRPr="00946ABB">
              <w:rPr>
                <w:rFonts w:hint="eastAsia"/>
                <w:rtl/>
              </w:rPr>
              <w:t>סעיף</w:t>
            </w:r>
            <w:r w:rsidRPr="00946ABB">
              <w:rPr>
                <w:rtl/>
              </w:rPr>
              <w:t xml:space="preserve"> </w:t>
            </w:r>
            <w:r w:rsidRPr="00946ABB">
              <w:rPr>
                <w:rFonts w:hint="eastAsia"/>
                <w:rtl/>
              </w:rPr>
              <w:t>זה</w:t>
            </w:r>
            <w:r w:rsidRPr="00946ABB">
              <w:rPr>
                <w:rtl/>
              </w:rPr>
              <w:t xml:space="preserve">, </w:t>
            </w:r>
            <w:r>
              <w:rPr>
                <w:rFonts w:hint="cs"/>
                <w:rtl/>
              </w:rPr>
              <w:t xml:space="preserve">גם </w:t>
            </w:r>
            <w:r w:rsidRPr="00946ABB">
              <w:rPr>
                <w:rFonts w:hint="eastAsia"/>
                <w:rtl/>
              </w:rPr>
              <w:t>אם</w:t>
            </w:r>
            <w:r w:rsidRPr="00946ABB">
              <w:rPr>
                <w:rtl/>
              </w:rPr>
              <w:t xml:space="preserve"> </w:t>
            </w:r>
            <w:r w:rsidRPr="00946ABB">
              <w:rPr>
                <w:rFonts w:hint="eastAsia"/>
                <w:rtl/>
              </w:rPr>
              <w:t>החיוג</w:t>
            </w:r>
            <w:r w:rsidRPr="00946ABB">
              <w:rPr>
                <w:rtl/>
              </w:rPr>
              <w:t xml:space="preserve"> </w:t>
            </w:r>
            <w:r w:rsidRPr="00946ABB">
              <w:rPr>
                <w:rFonts w:hint="eastAsia"/>
                <w:rtl/>
              </w:rPr>
              <w:t>הופסק</w:t>
            </w:r>
            <w:r w:rsidRPr="00946ABB">
              <w:rPr>
                <w:rtl/>
              </w:rPr>
              <w:t xml:space="preserve"> </w:t>
            </w:r>
            <w:r w:rsidRPr="00946ABB">
              <w:rPr>
                <w:rFonts w:hint="eastAsia"/>
                <w:rtl/>
              </w:rPr>
              <w:t>בטרם</w:t>
            </w:r>
            <w:r w:rsidRPr="00946ABB">
              <w:rPr>
                <w:rtl/>
              </w:rPr>
              <w:t xml:space="preserve"> </w:t>
            </w:r>
            <w:r w:rsidRPr="00946ABB">
              <w:rPr>
                <w:rFonts w:hint="eastAsia"/>
                <w:rtl/>
              </w:rPr>
              <w:t>נענתה</w:t>
            </w:r>
            <w:r w:rsidRPr="00946ABB">
              <w:rPr>
                <w:rtl/>
              </w:rPr>
              <w:t xml:space="preserve"> </w:t>
            </w:r>
            <w:r w:rsidRPr="00946ABB">
              <w:rPr>
                <w:rFonts w:hint="eastAsia"/>
                <w:rtl/>
              </w:rPr>
              <w:t>השיחה</w:t>
            </w:r>
            <w:r w:rsidRPr="00946ABB">
              <w:rPr>
                <w:rtl/>
              </w:rPr>
              <w:t xml:space="preserve"> </w:t>
            </w:r>
            <w:r w:rsidRPr="00946ABB">
              <w:rPr>
                <w:rFonts w:hint="eastAsia"/>
                <w:rtl/>
              </w:rPr>
              <w:t>ובחיוג</w:t>
            </w:r>
            <w:r w:rsidRPr="00946ABB">
              <w:rPr>
                <w:rtl/>
              </w:rPr>
              <w:t xml:space="preserve"> </w:t>
            </w:r>
            <w:r w:rsidRPr="00946ABB">
              <w:rPr>
                <w:rFonts w:hint="eastAsia"/>
                <w:rtl/>
              </w:rPr>
              <w:t>למספר</w:t>
            </w:r>
            <w:r w:rsidRPr="00946ABB">
              <w:rPr>
                <w:rtl/>
              </w:rPr>
              <w:t xml:space="preserve"> </w:t>
            </w:r>
            <w:r w:rsidRPr="00946ABB">
              <w:rPr>
                <w:rFonts w:hint="eastAsia"/>
                <w:rtl/>
              </w:rPr>
              <w:t>שממנו</w:t>
            </w:r>
            <w:r w:rsidRPr="00946ABB">
              <w:rPr>
                <w:rtl/>
              </w:rPr>
              <w:t xml:space="preserve"> </w:t>
            </w:r>
            <w:r w:rsidRPr="00946ABB">
              <w:rPr>
                <w:rFonts w:hint="eastAsia"/>
                <w:rtl/>
              </w:rPr>
              <w:t>בוצע</w:t>
            </w:r>
            <w:r w:rsidRPr="00946ABB">
              <w:rPr>
                <w:rtl/>
              </w:rPr>
              <w:t xml:space="preserve"> </w:t>
            </w:r>
            <w:r w:rsidRPr="00946ABB">
              <w:rPr>
                <w:rFonts w:hint="eastAsia"/>
                <w:rtl/>
              </w:rPr>
              <w:t>החיוג</w:t>
            </w:r>
            <w:r w:rsidRPr="00946ABB">
              <w:rPr>
                <w:rtl/>
              </w:rPr>
              <w:t xml:space="preserve"> </w:t>
            </w:r>
            <w:r w:rsidRPr="00946ABB">
              <w:rPr>
                <w:rFonts w:hint="eastAsia"/>
                <w:rtl/>
              </w:rPr>
              <w:t>מושמע לנמען</w:t>
            </w:r>
            <w:r w:rsidRPr="00946ABB">
              <w:rPr>
                <w:rtl/>
              </w:rPr>
              <w:t xml:space="preserve"> </w:t>
            </w:r>
            <w:r w:rsidRPr="00946ABB">
              <w:rPr>
                <w:rFonts w:hint="eastAsia"/>
                <w:rtl/>
              </w:rPr>
              <w:t>דבר</w:t>
            </w:r>
            <w:r w:rsidRPr="00946ABB">
              <w:rPr>
                <w:rtl/>
              </w:rPr>
              <w:t xml:space="preserve"> </w:t>
            </w:r>
            <w:r w:rsidRPr="00946ABB">
              <w:rPr>
                <w:rFonts w:hint="eastAsia"/>
                <w:rtl/>
              </w:rPr>
              <w:t>פרסומת</w:t>
            </w:r>
            <w:r w:rsidRPr="00946ABB">
              <w:rPr>
                <w:rtl/>
              </w:rPr>
              <w:t>".</w:t>
            </w:r>
          </w:p>
        </w:tc>
      </w:tr>
    </w:tbl>
    <w:p w:rsidR="00085C6D" w:rsidRDefault="00085C6D" w:rsidP="00085C6D">
      <w:pPr>
        <w:pStyle w:val="HeadDivreiHesber"/>
        <w:rPr>
          <w:rtl/>
        </w:rPr>
      </w:pPr>
      <w:r w:rsidRPr="0027450A">
        <w:rPr>
          <w:rFonts w:hint="cs"/>
          <w:rtl/>
        </w:rPr>
        <w:t>דברי הסבר</w:t>
      </w:r>
    </w:p>
    <w:p w:rsidR="00000000" w:rsidRDefault="00085C6D">
      <w:pPr>
        <w:pStyle w:val="Hesber"/>
        <w:rPr>
          <w:rtl/>
        </w:rPr>
      </w:pPr>
      <w:r w:rsidRPr="00455933">
        <w:rPr>
          <w:rFonts w:hint="eastAsia"/>
          <w:rtl/>
        </w:rPr>
        <w:t>סעיף</w:t>
      </w:r>
      <w:r w:rsidRPr="00455933">
        <w:rPr>
          <w:rtl/>
        </w:rPr>
        <w:t xml:space="preserve"> 30א </w:t>
      </w:r>
      <w:r w:rsidRPr="00455933">
        <w:rPr>
          <w:rFonts w:hint="eastAsia"/>
          <w:rtl/>
        </w:rPr>
        <w:t>לחוק</w:t>
      </w:r>
      <w:r w:rsidRPr="00455933">
        <w:rPr>
          <w:rtl/>
        </w:rPr>
        <w:t xml:space="preserve"> </w:t>
      </w:r>
      <w:r w:rsidRPr="00455933">
        <w:rPr>
          <w:rFonts w:hint="eastAsia"/>
          <w:rtl/>
        </w:rPr>
        <w:t>התקשורת</w:t>
      </w:r>
      <w:r>
        <w:rPr>
          <w:rFonts w:hint="cs"/>
          <w:rtl/>
        </w:rPr>
        <w:t xml:space="preserve"> (בזק ושידורים), </w:t>
      </w:r>
      <w:proofErr w:type="spellStart"/>
      <w:r>
        <w:rPr>
          <w:rFonts w:hint="cs"/>
          <w:rtl/>
        </w:rPr>
        <w:t>התשמ"ב</w:t>
      </w:r>
      <w:r>
        <w:rPr>
          <w:rFonts w:hint="eastAsia"/>
          <w:rtl/>
        </w:rPr>
        <w:t>–1982</w:t>
      </w:r>
      <w:proofErr w:type="spellEnd"/>
      <w:r>
        <w:rPr>
          <w:rFonts w:hint="eastAsia"/>
          <w:rtl/>
        </w:rPr>
        <w:t xml:space="preserve"> </w:t>
      </w:r>
      <w:r>
        <w:rPr>
          <w:rFonts w:hint="cs"/>
          <w:rtl/>
        </w:rPr>
        <w:t xml:space="preserve">(להלן </w:t>
      </w:r>
      <w:r>
        <w:rPr>
          <w:rFonts w:hint="eastAsia"/>
          <w:rtl/>
        </w:rPr>
        <w:t>– החוק</w:t>
      </w:r>
      <w:r>
        <w:rPr>
          <w:rFonts w:hint="cs"/>
          <w:rtl/>
        </w:rPr>
        <w:t>),</w:t>
      </w:r>
      <w:r w:rsidRPr="00455933">
        <w:rPr>
          <w:rtl/>
        </w:rPr>
        <w:t xml:space="preserve"> אוסר על </w:t>
      </w:r>
      <w:r>
        <w:rPr>
          <w:rFonts w:hint="cs"/>
          <w:rtl/>
        </w:rPr>
        <w:t xml:space="preserve">שיגור </w:t>
      </w:r>
      <w:r w:rsidRPr="00455933">
        <w:rPr>
          <w:rFonts w:hint="eastAsia"/>
          <w:rtl/>
        </w:rPr>
        <w:t>דבר</w:t>
      </w:r>
      <w:r w:rsidRPr="00455933">
        <w:rPr>
          <w:rtl/>
        </w:rPr>
        <w:t xml:space="preserve"> </w:t>
      </w:r>
      <w:r w:rsidRPr="00455933">
        <w:rPr>
          <w:rFonts w:hint="eastAsia"/>
          <w:rtl/>
        </w:rPr>
        <w:t>פרסומת</w:t>
      </w:r>
      <w:r>
        <w:rPr>
          <w:rFonts w:hint="cs"/>
          <w:rtl/>
        </w:rPr>
        <w:t xml:space="preserve"> באמצעות פקסימיליה, מערכת חיוג אוטומטי, הודעה אלקטרונית או הודעת מסר קצר (מסרון),</w:t>
      </w:r>
      <w:r w:rsidRPr="00455933">
        <w:rPr>
          <w:rtl/>
        </w:rPr>
        <w:t xml:space="preserve"> </w:t>
      </w:r>
      <w:r>
        <w:rPr>
          <w:rFonts w:hint="cs"/>
          <w:rtl/>
        </w:rPr>
        <w:t>ב</w:t>
      </w:r>
      <w:r w:rsidRPr="00455933">
        <w:rPr>
          <w:rFonts w:hint="eastAsia"/>
          <w:rtl/>
        </w:rPr>
        <w:t>לא</w:t>
      </w:r>
      <w:r w:rsidRPr="00455933">
        <w:rPr>
          <w:rtl/>
        </w:rPr>
        <w:t xml:space="preserve"> </w:t>
      </w:r>
      <w:r w:rsidRPr="00455933">
        <w:rPr>
          <w:rFonts w:hint="eastAsia"/>
          <w:rtl/>
        </w:rPr>
        <w:t>הסכמ</w:t>
      </w:r>
      <w:r>
        <w:rPr>
          <w:rFonts w:hint="cs"/>
          <w:rtl/>
        </w:rPr>
        <w:t>ה מפורשת מראש של</w:t>
      </w:r>
      <w:r w:rsidRPr="00455933">
        <w:rPr>
          <w:rtl/>
        </w:rPr>
        <w:t xml:space="preserve"> הנמען,</w:t>
      </w:r>
      <w:r>
        <w:rPr>
          <w:rFonts w:hint="cs"/>
          <w:rtl/>
        </w:rPr>
        <w:t xml:space="preserve"> למעט בנסיבות שהותרו במפורש באותו סעיף.</w:t>
      </w:r>
      <w:r w:rsidRPr="00455933">
        <w:rPr>
          <w:rtl/>
        </w:rPr>
        <w:t xml:space="preserve"> </w:t>
      </w:r>
    </w:p>
    <w:p w:rsidR="00000000" w:rsidRDefault="00085C6D">
      <w:pPr>
        <w:pStyle w:val="Hesber"/>
        <w:rPr>
          <w:rtl/>
        </w:rPr>
      </w:pPr>
      <w:r w:rsidRPr="00455933">
        <w:rPr>
          <w:rFonts w:hint="eastAsia"/>
          <w:rtl/>
        </w:rPr>
        <w:t>קיימת</w:t>
      </w:r>
      <w:r w:rsidRPr="00455933">
        <w:rPr>
          <w:rtl/>
        </w:rPr>
        <w:t xml:space="preserve"> </w:t>
      </w:r>
      <w:r w:rsidRPr="00455933">
        <w:rPr>
          <w:rFonts w:hint="eastAsia"/>
          <w:rtl/>
        </w:rPr>
        <w:t>תופעה</w:t>
      </w:r>
      <w:r w:rsidRPr="00455933">
        <w:rPr>
          <w:rtl/>
        </w:rPr>
        <w:t xml:space="preserve"> </w:t>
      </w:r>
      <w:r w:rsidRPr="00455933">
        <w:rPr>
          <w:rFonts w:hint="eastAsia"/>
          <w:rtl/>
        </w:rPr>
        <w:t>של</w:t>
      </w:r>
      <w:r w:rsidRPr="00455933">
        <w:rPr>
          <w:rtl/>
        </w:rPr>
        <w:t xml:space="preserve"> </w:t>
      </w:r>
      <w:r w:rsidRPr="00455933">
        <w:rPr>
          <w:rFonts w:hint="eastAsia"/>
          <w:rtl/>
        </w:rPr>
        <w:t>משלוח</w:t>
      </w:r>
      <w:r w:rsidRPr="00455933">
        <w:rPr>
          <w:rtl/>
        </w:rPr>
        <w:t xml:space="preserve"> </w:t>
      </w:r>
      <w:r w:rsidRPr="00455933">
        <w:rPr>
          <w:rFonts w:hint="eastAsia"/>
          <w:rtl/>
        </w:rPr>
        <w:t>מסרים</w:t>
      </w:r>
      <w:r w:rsidRPr="00455933">
        <w:rPr>
          <w:rtl/>
        </w:rPr>
        <w:t xml:space="preserve"> </w:t>
      </w:r>
      <w:r>
        <w:rPr>
          <w:rFonts w:hint="cs"/>
          <w:rtl/>
        </w:rPr>
        <w:t>לציבור הרחב, בעיקר באמצעות מערכת חיוג אוטומטי, הכוללים</w:t>
      </w:r>
      <w:r w:rsidRPr="00455933">
        <w:rPr>
          <w:rtl/>
        </w:rPr>
        <w:t xml:space="preserve"> </w:t>
      </w:r>
      <w:r>
        <w:rPr>
          <w:rFonts w:hint="cs"/>
          <w:rtl/>
        </w:rPr>
        <w:t xml:space="preserve">מסרים </w:t>
      </w:r>
      <w:r w:rsidRPr="00455933">
        <w:rPr>
          <w:rtl/>
        </w:rPr>
        <w:t xml:space="preserve">חדשותיים </w:t>
      </w:r>
      <w:r w:rsidRPr="00455933">
        <w:rPr>
          <w:rFonts w:hint="eastAsia"/>
          <w:rtl/>
        </w:rPr>
        <w:t>או</w:t>
      </w:r>
      <w:r w:rsidRPr="00455933">
        <w:rPr>
          <w:rtl/>
        </w:rPr>
        <w:t xml:space="preserve"> </w:t>
      </w:r>
      <w:r w:rsidRPr="00455933">
        <w:rPr>
          <w:rFonts w:hint="eastAsia"/>
          <w:rtl/>
        </w:rPr>
        <w:t>תכני</w:t>
      </w:r>
      <w:r w:rsidRPr="00455933">
        <w:rPr>
          <w:rtl/>
        </w:rPr>
        <w:t xml:space="preserve"> רכילות</w:t>
      </w:r>
      <w:r>
        <w:rPr>
          <w:rFonts w:hint="cs"/>
          <w:rtl/>
        </w:rPr>
        <w:t>,</w:t>
      </w:r>
      <w:r w:rsidRPr="00455933">
        <w:rPr>
          <w:rtl/>
        </w:rPr>
        <w:t xml:space="preserve"> </w:t>
      </w:r>
      <w:r>
        <w:rPr>
          <w:rFonts w:hint="cs"/>
          <w:rtl/>
        </w:rPr>
        <w:t>שבהם</w:t>
      </w:r>
      <w:r w:rsidRPr="00455933">
        <w:rPr>
          <w:rtl/>
        </w:rPr>
        <w:t xml:space="preserve"> </w:t>
      </w:r>
      <w:r w:rsidRPr="00455933">
        <w:rPr>
          <w:rFonts w:hint="eastAsia"/>
          <w:rtl/>
        </w:rPr>
        <w:t>ניתנים</w:t>
      </w:r>
      <w:r w:rsidRPr="00455933">
        <w:rPr>
          <w:rtl/>
        </w:rPr>
        <w:t xml:space="preserve"> פרטי מידע חלקיים במטרה לגרום </w:t>
      </w:r>
      <w:r>
        <w:rPr>
          <w:rFonts w:hint="cs"/>
          <w:rtl/>
        </w:rPr>
        <w:t xml:space="preserve">לנמען </w:t>
      </w:r>
      <w:r w:rsidRPr="00455933">
        <w:rPr>
          <w:rtl/>
        </w:rPr>
        <w:t>לחייג למספר ש</w:t>
      </w:r>
      <w:r>
        <w:rPr>
          <w:rFonts w:hint="cs"/>
          <w:rtl/>
        </w:rPr>
        <w:t>מצוין</w:t>
      </w:r>
      <w:r w:rsidRPr="00455933">
        <w:rPr>
          <w:rtl/>
        </w:rPr>
        <w:t xml:space="preserve"> ב</w:t>
      </w:r>
      <w:r>
        <w:rPr>
          <w:rFonts w:hint="cs"/>
          <w:rtl/>
        </w:rPr>
        <w:t xml:space="preserve">מסרים אלה. מסרים אלה הם גם מקור </w:t>
      </w:r>
      <w:r w:rsidRPr="00455933">
        <w:rPr>
          <w:rtl/>
        </w:rPr>
        <w:t xml:space="preserve">הכנסה </w:t>
      </w:r>
      <w:r>
        <w:rPr>
          <w:rFonts w:hint="cs"/>
          <w:rtl/>
        </w:rPr>
        <w:t>ל</w:t>
      </w:r>
      <w:r w:rsidRPr="00455933">
        <w:rPr>
          <w:rtl/>
        </w:rPr>
        <w:t>משגר ה</w:t>
      </w:r>
      <w:r>
        <w:rPr>
          <w:rFonts w:hint="cs"/>
          <w:rtl/>
        </w:rPr>
        <w:t xml:space="preserve">מסר בשל התשלום בעד קישור גומלין כמשמעותו בחוק. </w:t>
      </w:r>
    </w:p>
    <w:p w:rsidR="00000000" w:rsidRDefault="00085C6D">
      <w:pPr>
        <w:pStyle w:val="Hesber"/>
        <w:rPr>
          <w:rtl/>
        </w:rPr>
      </w:pPr>
      <w:r>
        <w:rPr>
          <w:rFonts w:hint="cs"/>
          <w:rtl/>
        </w:rPr>
        <w:t>לפיכך, מאחר שמסרים אלה מטרידים את הנמענים מוצע לאסור</w:t>
      </w:r>
      <w:r w:rsidRPr="00455933">
        <w:rPr>
          <w:rtl/>
        </w:rPr>
        <w:t xml:space="preserve"> </w:t>
      </w:r>
      <w:r>
        <w:rPr>
          <w:rFonts w:hint="cs"/>
          <w:rtl/>
        </w:rPr>
        <w:t>בסעיף 30א</w:t>
      </w:r>
      <w:r w:rsidRPr="00455933">
        <w:rPr>
          <w:rtl/>
        </w:rPr>
        <w:t xml:space="preserve"> </w:t>
      </w:r>
      <w:r>
        <w:rPr>
          <w:rFonts w:hint="cs"/>
          <w:rtl/>
        </w:rPr>
        <w:t>ל</w:t>
      </w:r>
      <w:r w:rsidRPr="00455933">
        <w:rPr>
          <w:rFonts w:hint="eastAsia"/>
          <w:rtl/>
        </w:rPr>
        <w:t>חוק</w:t>
      </w:r>
      <w:r>
        <w:rPr>
          <w:rFonts w:hint="cs"/>
          <w:rtl/>
        </w:rPr>
        <w:t xml:space="preserve"> גם את השיגור של </w:t>
      </w:r>
      <w:r>
        <w:rPr>
          <w:rFonts w:hint="cs"/>
          <w:sz w:val="26"/>
          <w:rtl/>
        </w:rPr>
        <w:t>דבר פרסומת ובו מסר המופץ לציבור הרחב</w:t>
      </w:r>
      <w:r w:rsidRPr="0061578D">
        <w:rPr>
          <w:rFonts w:hint="cs"/>
          <w:sz w:val="26"/>
          <w:rtl/>
        </w:rPr>
        <w:t>, הכולל הצעה</w:t>
      </w:r>
      <w:r w:rsidRPr="00DE0E18">
        <w:rPr>
          <w:sz w:val="26"/>
          <w:rtl/>
        </w:rPr>
        <w:t xml:space="preserve"> </w:t>
      </w:r>
      <w:r w:rsidRPr="00DE0E18">
        <w:rPr>
          <w:rFonts w:hint="eastAsia"/>
          <w:sz w:val="26"/>
          <w:rtl/>
        </w:rPr>
        <w:t>לנמען</w:t>
      </w:r>
      <w:r w:rsidRPr="00DE0E18">
        <w:rPr>
          <w:sz w:val="26"/>
          <w:rtl/>
        </w:rPr>
        <w:t xml:space="preserve"> </w:t>
      </w:r>
      <w:r w:rsidRPr="00DE0E18">
        <w:rPr>
          <w:rFonts w:hint="eastAsia"/>
          <w:sz w:val="26"/>
          <w:rtl/>
        </w:rPr>
        <w:t>להתקשר</w:t>
      </w:r>
      <w:r w:rsidRPr="00DE0E18">
        <w:rPr>
          <w:sz w:val="26"/>
          <w:rtl/>
        </w:rPr>
        <w:t xml:space="preserve"> למספר </w:t>
      </w:r>
      <w:r w:rsidRPr="00DE0E18">
        <w:rPr>
          <w:rFonts w:hint="eastAsia"/>
          <w:sz w:val="26"/>
          <w:rtl/>
        </w:rPr>
        <w:t>טלפון</w:t>
      </w:r>
      <w:r w:rsidRPr="00DE0E18">
        <w:rPr>
          <w:sz w:val="26"/>
          <w:rtl/>
        </w:rPr>
        <w:t xml:space="preserve"> </w:t>
      </w:r>
      <w:r>
        <w:rPr>
          <w:rFonts w:hint="cs"/>
          <w:sz w:val="26"/>
          <w:rtl/>
        </w:rPr>
        <w:t xml:space="preserve">מסוים </w:t>
      </w:r>
      <w:r w:rsidRPr="00DE0E18">
        <w:rPr>
          <w:sz w:val="26"/>
          <w:rtl/>
        </w:rPr>
        <w:t xml:space="preserve">לשם </w:t>
      </w:r>
      <w:r w:rsidRPr="00DE0E18">
        <w:rPr>
          <w:rFonts w:hint="eastAsia"/>
          <w:sz w:val="26"/>
          <w:rtl/>
        </w:rPr>
        <w:t>קבלת</w:t>
      </w:r>
      <w:r w:rsidRPr="00DE0E18">
        <w:rPr>
          <w:sz w:val="26"/>
          <w:rtl/>
        </w:rPr>
        <w:t xml:space="preserve"> </w:t>
      </w:r>
      <w:r w:rsidRPr="00DE0E18">
        <w:rPr>
          <w:rFonts w:hint="eastAsia"/>
          <w:sz w:val="26"/>
          <w:rtl/>
        </w:rPr>
        <w:t>מסר</w:t>
      </w:r>
      <w:r w:rsidRPr="00DE0E18">
        <w:rPr>
          <w:sz w:val="26"/>
          <w:rtl/>
        </w:rPr>
        <w:t xml:space="preserve">, </w:t>
      </w:r>
      <w:r w:rsidRPr="00DE0E18">
        <w:rPr>
          <w:rFonts w:hint="eastAsia"/>
          <w:sz w:val="26"/>
          <w:rtl/>
        </w:rPr>
        <w:t>למעט</w:t>
      </w:r>
      <w:r w:rsidRPr="00DE0E18">
        <w:rPr>
          <w:sz w:val="26"/>
          <w:rtl/>
        </w:rPr>
        <w:t xml:space="preserve"> </w:t>
      </w:r>
      <w:r w:rsidRPr="00DE0E18">
        <w:rPr>
          <w:rFonts w:hint="eastAsia"/>
          <w:sz w:val="26"/>
          <w:rtl/>
        </w:rPr>
        <w:t>מס</w:t>
      </w:r>
      <w:r>
        <w:rPr>
          <w:rFonts w:hint="cs"/>
          <w:sz w:val="26"/>
          <w:rtl/>
        </w:rPr>
        <w:t>ר</w:t>
      </w:r>
      <w:r w:rsidRPr="00DE0E18">
        <w:rPr>
          <w:sz w:val="26"/>
          <w:rtl/>
        </w:rPr>
        <w:t xml:space="preserve"> </w:t>
      </w:r>
      <w:r>
        <w:rPr>
          <w:rFonts w:hint="cs"/>
          <w:sz w:val="26"/>
          <w:rtl/>
        </w:rPr>
        <w:t>כאמור ששוגר</w:t>
      </w:r>
      <w:r w:rsidRPr="00DE0E18">
        <w:rPr>
          <w:sz w:val="26"/>
          <w:rtl/>
        </w:rPr>
        <w:t xml:space="preserve"> </w:t>
      </w:r>
      <w:r w:rsidRPr="00DE0E18">
        <w:rPr>
          <w:rFonts w:hint="eastAsia"/>
          <w:sz w:val="26"/>
          <w:rtl/>
        </w:rPr>
        <w:t>מ</w:t>
      </w:r>
      <w:r>
        <w:rPr>
          <w:rFonts w:hint="cs"/>
          <w:sz w:val="26"/>
          <w:rtl/>
        </w:rPr>
        <w:t xml:space="preserve">את </w:t>
      </w:r>
      <w:r>
        <w:rPr>
          <w:rFonts w:hint="cs"/>
          <w:rtl/>
        </w:rPr>
        <w:t>המדינה ומוסדותיה ו</w:t>
      </w:r>
      <w:r>
        <w:rPr>
          <w:rFonts w:hint="cs"/>
          <w:sz w:val="26"/>
          <w:rtl/>
        </w:rPr>
        <w:t xml:space="preserve">מסר כאמור שתכליתו העברת מידע ששלח גוף הצלה </w:t>
      </w:r>
      <w:r>
        <w:rPr>
          <w:rFonts w:hint="cs"/>
          <w:rtl/>
        </w:rPr>
        <w:t xml:space="preserve">כהגדרתו בפקודת המשטרה [נוסח חדש], </w:t>
      </w:r>
      <w:proofErr w:type="spellStart"/>
      <w:r>
        <w:rPr>
          <w:rFonts w:hint="cs"/>
          <w:rtl/>
        </w:rPr>
        <w:t>התשל"א</w:t>
      </w:r>
      <w:r>
        <w:rPr>
          <w:rFonts w:hint="eastAsia"/>
          <w:rtl/>
        </w:rPr>
        <w:t>–</w:t>
      </w:r>
      <w:r>
        <w:rPr>
          <w:rFonts w:hint="cs"/>
          <w:rtl/>
        </w:rPr>
        <w:t>1971</w:t>
      </w:r>
      <w:proofErr w:type="spellEnd"/>
      <w:r>
        <w:rPr>
          <w:rFonts w:hint="cs"/>
          <w:sz w:val="26"/>
          <w:rtl/>
        </w:rPr>
        <w:t>, לשם מילוי תפקידו</w:t>
      </w:r>
      <w:r>
        <w:rPr>
          <w:rFonts w:hint="cs"/>
          <w:rtl/>
        </w:rPr>
        <w:t>. לעניין זה מוצע להגדיר את המונח "המדינה ומוסדותיה", ככולל את הממשלה ומשרדי הממשלה, לרבות יחידותיהם ויחידות הסמך שלהם, משטרת ישראל, בתי משפט ובתי דין, המוסד לביטוח לאומי, או גוף ציבורי אחר שקבע שר התקשורת, באישור ועדת הכלכלה של הכנסת</w:t>
      </w:r>
      <w:r>
        <w:rPr>
          <w:rFonts w:hint="cs"/>
          <w:sz w:val="26"/>
          <w:rtl/>
        </w:rPr>
        <w:t xml:space="preserve">. </w:t>
      </w:r>
    </w:p>
    <w:p w:rsidR="00000000" w:rsidRDefault="00085C6D">
      <w:pPr>
        <w:pStyle w:val="Hesber"/>
        <w:rPr>
          <w:rtl/>
        </w:rPr>
      </w:pPr>
      <w:r>
        <w:rPr>
          <w:rFonts w:hint="cs"/>
          <w:rtl/>
        </w:rPr>
        <w:t xml:space="preserve">כמו כן, קיימת תופעה שלפיה המפרסם מחייג לנמען באמצעות מערכת חיוג אוטומטי ומנתק את השיחה כדי לגרום לנמען לחייג בחזרה לאותו המספר, כך שיוכל להשמיע לנמען את דבר הפרסומת או את המסר (תופעה הידועה </w:t>
      </w:r>
      <w:proofErr w:type="spellStart"/>
      <w:r>
        <w:rPr>
          <w:rFonts w:hint="cs"/>
          <w:rtl/>
        </w:rPr>
        <w:t>כ"צנתוק</w:t>
      </w:r>
      <w:proofErr w:type="spellEnd"/>
      <w:r>
        <w:rPr>
          <w:rFonts w:hint="cs"/>
          <w:rtl/>
        </w:rPr>
        <w:t xml:space="preserve">"). התמריץ לכך הוא שהמפרסם מרוויח מעצם החיוג של הנמען </w:t>
      </w:r>
      <w:r>
        <w:rPr>
          <w:rFonts w:hint="cs"/>
          <w:rtl/>
        </w:rPr>
        <w:lastRenderedPageBreak/>
        <w:t>בחזרה לאותו מספר.</w:t>
      </w:r>
      <w:r w:rsidRPr="00D44A0D">
        <w:rPr>
          <w:rFonts w:hint="cs"/>
          <w:sz w:val="26"/>
          <w:rtl/>
        </w:rPr>
        <w:t xml:space="preserve"> </w:t>
      </w:r>
      <w:r w:rsidRPr="00873EEF">
        <w:rPr>
          <w:rFonts w:hint="cs"/>
          <w:sz w:val="26"/>
          <w:rtl/>
        </w:rPr>
        <w:t xml:space="preserve">אמנם, </w:t>
      </w:r>
      <w:r w:rsidRPr="00873EEF">
        <w:rPr>
          <w:rFonts w:hint="cs"/>
          <w:rtl/>
        </w:rPr>
        <w:t xml:space="preserve">בהתאם לפרשנות של </w:t>
      </w:r>
      <w:r w:rsidRPr="00873EEF">
        <w:rPr>
          <w:rtl/>
        </w:rPr>
        <w:t>משרד התקשורת</w:t>
      </w:r>
      <w:r w:rsidRPr="00873EEF">
        <w:rPr>
          <w:rFonts w:hint="cs"/>
          <w:rtl/>
        </w:rPr>
        <w:t>, תופעה</w:t>
      </w:r>
      <w:r>
        <w:rPr>
          <w:rFonts w:hint="cs"/>
          <w:rtl/>
        </w:rPr>
        <w:t xml:space="preserve"> זו אסורה לפי נוסחו הנוכחי של החוק, </w:t>
      </w:r>
      <w:r>
        <w:rPr>
          <w:rFonts w:hint="cs"/>
          <w:sz w:val="26"/>
          <w:rtl/>
        </w:rPr>
        <w:t>אולם מוצע לקבוע</w:t>
      </w:r>
      <w:r w:rsidR="001B4881">
        <w:rPr>
          <w:rFonts w:hint="cs"/>
          <w:sz w:val="26"/>
          <w:rtl/>
        </w:rPr>
        <w:t xml:space="preserve"> </w:t>
      </w:r>
      <w:r>
        <w:rPr>
          <w:rFonts w:hint="cs"/>
          <w:rtl/>
        </w:rPr>
        <w:t xml:space="preserve">איסור מפורש על </w:t>
      </w:r>
      <w:r w:rsidRPr="00946ABB">
        <w:rPr>
          <w:rFonts w:hint="eastAsia"/>
          <w:rtl/>
        </w:rPr>
        <w:t>חיוג</w:t>
      </w:r>
      <w:r w:rsidRPr="00946ABB">
        <w:rPr>
          <w:rtl/>
        </w:rPr>
        <w:t xml:space="preserve"> </w:t>
      </w:r>
      <w:r w:rsidRPr="00946ABB">
        <w:rPr>
          <w:rFonts w:hint="eastAsia"/>
          <w:rtl/>
        </w:rPr>
        <w:t>לנמען</w:t>
      </w:r>
      <w:r w:rsidRPr="00946ABB">
        <w:rPr>
          <w:rtl/>
        </w:rPr>
        <w:t xml:space="preserve"> </w:t>
      </w:r>
      <w:r w:rsidRPr="00946ABB">
        <w:rPr>
          <w:rFonts w:hint="eastAsia"/>
          <w:rtl/>
        </w:rPr>
        <w:t>באמצעות</w:t>
      </w:r>
      <w:r w:rsidRPr="00946ABB">
        <w:rPr>
          <w:rtl/>
        </w:rPr>
        <w:t xml:space="preserve"> </w:t>
      </w:r>
      <w:r w:rsidRPr="00946ABB">
        <w:rPr>
          <w:rFonts w:hint="eastAsia"/>
          <w:rtl/>
        </w:rPr>
        <w:t>מערכת</w:t>
      </w:r>
      <w:r w:rsidRPr="00946ABB">
        <w:rPr>
          <w:rtl/>
        </w:rPr>
        <w:t xml:space="preserve"> </w:t>
      </w:r>
      <w:r w:rsidRPr="00946ABB">
        <w:rPr>
          <w:rFonts w:hint="eastAsia"/>
          <w:rtl/>
        </w:rPr>
        <w:t>חיוג</w:t>
      </w:r>
      <w:r w:rsidRPr="00946ABB">
        <w:rPr>
          <w:rtl/>
        </w:rPr>
        <w:t xml:space="preserve"> </w:t>
      </w:r>
      <w:r w:rsidRPr="00946ABB">
        <w:rPr>
          <w:rFonts w:hint="eastAsia"/>
          <w:rtl/>
        </w:rPr>
        <w:t>אוטומטי</w:t>
      </w:r>
      <w:r>
        <w:rPr>
          <w:rFonts w:hint="cs"/>
          <w:rtl/>
        </w:rPr>
        <w:t xml:space="preserve">, </w:t>
      </w:r>
      <w:r w:rsidRPr="00946ABB">
        <w:rPr>
          <w:rFonts w:hint="eastAsia"/>
          <w:rtl/>
        </w:rPr>
        <w:t>אם</w:t>
      </w:r>
      <w:r w:rsidRPr="00946ABB">
        <w:rPr>
          <w:rtl/>
        </w:rPr>
        <w:t xml:space="preserve"> </w:t>
      </w:r>
      <w:r w:rsidRPr="00946ABB">
        <w:rPr>
          <w:rFonts w:hint="eastAsia"/>
          <w:rtl/>
        </w:rPr>
        <w:t>החיוג</w:t>
      </w:r>
      <w:r w:rsidRPr="00946ABB">
        <w:rPr>
          <w:rtl/>
        </w:rPr>
        <w:t xml:space="preserve"> </w:t>
      </w:r>
      <w:r>
        <w:rPr>
          <w:rFonts w:hint="cs"/>
          <w:rtl/>
        </w:rPr>
        <w:t>מ</w:t>
      </w:r>
      <w:r w:rsidRPr="00946ABB">
        <w:rPr>
          <w:rFonts w:hint="eastAsia"/>
          <w:rtl/>
        </w:rPr>
        <w:t>ופסק</w:t>
      </w:r>
      <w:r w:rsidRPr="00946ABB">
        <w:rPr>
          <w:rtl/>
        </w:rPr>
        <w:t xml:space="preserve"> </w:t>
      </w:r>
      <w:r w:rsidRPr="00946ABB">
        <w:rPr>
          <w:rFonts w:hint="eastAsia"/>
          <w:rtl/>
        </w:rPr>
        <w:t>בטרם</w:t>
      </w:r>
      <w:r w:rsidRPr="00946ABB">
        <w:rPr>
          <w:rtl/>
        </w:rPr>
        <w:t xml:space="preserve"> </w:t>
      </w:r>
      <w:r w:rsidRPr="00946ABB">
        <w:rPr>
          <w:rFonts w:hint="eastAsia"/>
          <w:rtl/>
        </w:rPr>
        <w:t>נענתה</w:t>
      </w:r>
      <w:r w:rsidRPr="00946ABB">
        <w:rPr>
          <w:rtl/>
        </w:rPr>
        <w:t xml:space="preserve"> </w:t>
      </w:r>
      <w:r w:rsidRPr="00946ABB">
        <w:rPr>
          <w:rFonts w:hint="eastAsia"/>
          <w:rtl/>
        </w:rPr>
        <w:t>השיחה</w:t>
      </w:r>
      <w:r>
        <w:rPr>
          <w:rFonts w:hint="cs"/>
          <w:rtl/>
        </w:rPr>
        <w:t>,</w:t>
      </w:r>
      <w:r w:rsidRPr="00946ABB">
        <w:rPr>
          <w:rtl/>
        </w:rPr>
        <w:t xml:space="preserve"> </w:t>
      </w:r>
      <w:r w:rsidRPr="00946ABB">
        <w:rPr>
          <w:rFonts w:hint="eastAsia"/>
          <w:rtl/>
        </w:rPr>
        <w:t>ובחיוג</w:t>
      </w:r>
      <w:r w:rsidRPr="00946ABB">
        <w:rPr>
          <w:rtl/>
        </w:rPr>
        <w:t xml:space="preserve"> </w:t>
      </w:r>
      <w:r w:rsidRPr="00946ABB">
        <w:rPr>
          <w:rFonts w:hint="eastAsia"/>
          <w:rtl/>
        </w:rPr>
        <w:t>למספר</w:t>
      </w:r>
      <w:r w:rsidRPr="00946ABB">
        <w:rPr>
          <w:rtl/>
        </w:rPr>
        <w:t xml:space="preserve"> </w:t>
      </w:r>
      <w:r w:rsidRPr="00946ABB">
        <w:rPr>
          <w:rFonts w:hint="eastAsia"/>
          <w:rtl/>
        </w:rPr>
        <w:t>שממנו</w:t>
      </w:r>
      <w:r w:rsidRPr="00946ABB">
        <w:rPr>
          <w:rtl/>
        </w:rPr>
        <w:t xml:space="preserve"> </w:t>
      </w:r>
      <w:r w:rsidRPr="00946ABB">
        <w:rPr>
          <w:rFonts w:hint="eastAsia"/>
          <w:rtl/>
        </w:rPr>
        <w:t>בוצע</w:t>
      </w:r>
      <w:r w:rsidRPr="00946ABB">
        <w:rPr>
          <w:rtl/>
        </w:rPr>
        <w:t xml:space="preserve"> </w:t>
      </w:r>
      <w:r w:rsidRPr="00946ABB">
        <w:rPr>
          <w:rFonts w:hint="eastAsia"/>
          <w:rtl/>
        </w:rPr>
        <w:t>החיוג</w:t>
      </w:r>
      <w:r w:rsidRPr="00946ABB">
        <w:rPr>
          <w:rtl/>
        </w:rPr>
        <w:t xml:space="preserve"> </w:t>
      </w:r>
      <w:r w:rsidRPr="00946ABB">
        <w:rPr>
          <w:rFonts w:hint="eastAsia"/>
          <w:rtl/>
        </w:rPr>
        <w:t>לנמען</w:t>
      </w:r>
      <w:r w:rsidRPr="00946ABB">
        <w:rPr>
          <w:rtl/>
        </w:rPr>
        <w:t xml:space="preserve"> </w:t>
      </w:r>
      <w:r w:rsidRPr="007318F4">
        <w:rPr>
          <w:rFonts w:hint="eastAsia"/>
          <w:rtl/>
        </w:rPr>
        <w:t>מושמע</w:t>
      </w:r>
      <w:r w:rsidRPr="007318F4">
        <w:rPr>
          <w:rtl/>
        </w:rPr>
        <w:t xml:space="preserve"> </w:t>
      </w:r>
      <w:r w:rsidRPr="007318F4">
        <w:rPr>
          <w:rFonts w:hint="eastAsia"/>
          <w:rtl/>
        </w:rPr>
        <w:t>דבר</w:t>
      </w:r>
      <w:r w:rsidRPr="007318F4">
        <w:rPr>
          <w:rtl/>
        </w:rPr>
        <w:t xml:space="preserve"> </w:t>
      </w:r>
      <w:r w:rsidRPr="007318F4">
        <w:rPr>
          <w:rFonts w:hint="eastAsia"/>
          <w:rtl/>
        </w:rPr>
        <w:t>פרסומת</w:t>
      </w:r>
      <w:r w:rsidRPr="007318F4">
        <w:rPr>
          <w:rtl/>
        </w:rPr>
        <w:t>.</w:t>
      </w:r>
      <w:r w:rsidRPr="007318F4">
        <w:rPr>
          <w:rFonts w:hint="cs"/>
          <w:rtl/>
        </w:rPr>
        <w:t xml:space="preserve"> </w:t>
      </w:r>
    </w:p>
    <w:p w:rsidR="00085C6D" w:rsidRPr="00774619" w:rsidRDefault="00085C6D" w:rsidP="00085C6D">
      <w:pPr>
        <w:pStyle w:val="Hesber"/>
        <w:rPr>
          <w:rtl/>
        </w:rPr>
      </w:pPr>
    </w:p>
    <w:p w:rsidR="00AC2E7D" w:rsidRDefault="00AC2E7D"/>
    <w:sectPr w:rsidR="00AC2E7D" w:rsidSect="001207F8">
      <w:footerReference w:type="even" r:id="rId9"/>
      <w:footerReference w:type="default" r:id="rId10"/>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7C" w:rsidRDefault="00E4467C" w:rsidP="00085C6D">
      <w:pPr>
        <w:spacing w:before="0" w:line="240" w:lineRule="auto"/>
      </w:pPr>
      <w:r>
        <w:separator/>
      </w:r>
    </w:p>
  </w:endnote>
  <w:endnote w:type="continuationSeparator" w:id="0">
    <w:p w:rsidR="00E4467C" w:rsidRDefault="00E4467C" w:rsidP="00085C6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41" w:rsidRDefault="00904E9C" w:rsidP="001207F8">
    <w:pPr>
      <w:pStyle w:val="a6"/>
      <w:framePr w:wrap="around" w:vAnchor="text" w:hAnchor="text" w:xAlign="center" w:y="1"/>
      <w:rPr>
        <w:rStyle w:val="a8"/>
      </w:rPr>
    </w:pPr>
    <w:r>
      <w:rPr>
        <w:rStyle w:val="a8"/>
        <w:rtl/>
      </w:rPr>
      <w:fldChar w:fldCharType="begin"/>
    </w:r>
    <w:r w:rsidR="00085C6D">
      <w:rPr>
        <w:rStyle w:val="a8"/>
      </w:rPr>
      <w:instrText xml:space="preserve">PAGE  </w:instrText>
    </w:r>
    <w:r>
      <w:rPr>
        <w:rStyle w:val="a8"/>
        <w:rtl/>
      </w:rPr>
      <w:fldChar w:fldCharType="end"/>
    </w:r>
  </w:p>
  <w:p w:rsidR="002C3041" w:rsidRDefault="00E446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41" w:rsidRDefault="00904E9C" w:rsidP="001207F8">
    <w:pPr>
      <w:pStyle w:val="a6"/>
      <w:framePr w:wrap="around" w:vAnchor="text" w:hAnchor="text" w:xAlign="center" w:y="1"/>
      <w:rPr>
        <w:rStyle w:val="a8"/>
      </w:rPr>
    </w:pPr>
    <w:r>
      <w:rPr>
        <w:rStyle w:val="a8"/>
        <w:rtl/>
      </w:rPr>
      <w:fldChar w:fldCharType="begin"/>
    </w:r>
    <w:r w:rsidR="00085C6D">
      <w:rPr>
        <w:rStyle w:val="a8"/>
      </w:rPr>
      <w:instrText xml:space="preserve">PAGE  </w:instrText>
    </w:r>
    <w:r>
      <w:rPr>
        <w:rStyle w:val="a8"/>
        <w:rtl/>
      </w:rPr>
      <w:fldChar w:fldCharType="separate"/>
    </w:r>
    <w:r w:rsidR="00893969">
      <w:rPr>
        <w:rStyle w:val="a8"/>
        <w:noProof/>
        <w:rtl/>
      </w:rPr>
      <w:t>2</w:t>
    </w:r>
    <w:r>
      <w:rPr>
        <w:rStyle w:val="a8"/>
        <w:rtl/>
      </w:rPr>
      <w:fldChar w:fldCharType="end"/>
    </w:r>
  </w:p>
  <w:p w:rsidR="002C3041" w:rsidRDefault="00E44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7C" w:rsidRDefault="00E4467C" w:rsidP="00085C6D">
      <w:pPr>
        <w:spacing w:before="0" w:line="240" w:lineRule="auto"/>
      </w:pPr>
      <w:r>
        <w:separator/>
      </w:r>
    </w:p>
  </w:footnote>
  <w:footnote w:type="continuationSeparator" w:id="0">
    <w:p w:rsidR="00E4467C" w:rsidRDefault="00E4467C" w:rsidP="00085C6D">
      <w:pPr>
        <w:spacing w:before="0" w:line="240" w:lineRule="auto"/>
      </w:pPr>
      <w:r>
        <w:continuationSeparator/>
      </w:r>
    </w:p>
  </w:footnote>
  <w:footnote w:id="1">
    <w:p w:rsidR="00085C6D" w:rsidRDefault="00085C6D" w:rsidP="00085C6D">
      <w:pPr>
        <w:pStyle w:val="a3"/>
      </w:pPr>
      <w:r>
        <w:rPr>
          <w:rStyle w:val="a5"/>
        </w:rPr>
        <w:footnoteRef/>
      </w:r>
      <w:r>
        <w:rPr>
          <w:sz w:val="20"/>
          <w:rtl/>
        </w:rPr>
        <w:t xml:space="preserve"> ס"ח </w:t>
      </w:r>
      <w:proofErr w:type="spellStart"/>
      <w:r>
        <w:rPr>
          <w:sz w:val="20"/>
          <w:rtl/>
        </w:rPr>
        <w:t>התשמ"ב</w:t>
      </w:r>
      <w:proofErr w:type="spellEnd"/>
      <w:r>
        <w:rPr>
          <w:sz w:val="20"/>
          <w:rtl/>
        </w:rPr>
        <w:t xml:space="preserve">, </w:t>
      </w:r>
      <w:proofErr w:type="spellStart"/>
      <w:r>
        <w:rPr>
          <w:sz w:val="20"/>
          <w:rtl/>
        </w:rPr>
        <w:t>עמ</w:t>
      </w:r>
      <w:proofErr w:type="spellEnd"/>
      <w:r>
        <w:rPr>
          <w:sz w:val="20"/>
          <w:rtl/>
        </w:rPr>
        <w:t>' 218.</w:t>
      </w:r>
    </w:p>
  </w:footnote>
  <w:footnote w:id="2">
    <w:p w:rsidR="00085C6D" w:rsidRDefault="00085C6D" w:rsidP="00085C6D">
      <w:pPr>
        <w:pStyle w:val="a3"/>
      </w:pPr>
      <w:r>
        <w:rPr>
          <w:rStyle w:val="a5"/>
        </w:rPr>
        <w:footnoteRef/>
      </w:r>
      <w:r>
        <w:rPr>
          <w:rtl/>
        </w:rPr>
        <w:t xml:space="preserve"> </w:t>
      </w:r>
      <w:r>
        <w:rPr>
          <w:rFonts w:hint="cs"/>
          <w:rtl/>
        </w:rPr>
        <w:t>דיני מדינת ישראל, נוסח חדש 17, עמ' 390.</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דיקלה טקו">
    <w15:presenceInfo w15:providerId="AD" w15:userId="S-1-5-21-390607825-919564285-270368766-1627"/>
  </w15:person>
  <w15:person w15:author="מרב תורג'מן">
    <w15:presenceInfo w15:providerId="AD" w15:userId="S-1-5-21-390607825-919564285-270368766-2783"/>
  </w15:person>
  <w15:person w15:author="תהל טהר לב">
    <w15:presenceInfo w15:providerId="AD" w15:userId="S-1-5-21-390607825-919564285-270368766-143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085C6D"/>
    <w:rsid w:val="00054628"/>
    <w:rsid w:val="00085C6D"/>
    <w:rsid w:val="00090FAE"/>
    <w:rsid w:val="0009520C"/>
    <w:rsid w:val="00121EFE"/>
    <w:rsid w:val="001B4881"/>
    <w:rsid w:val="002574F5"/>
    <w:rsid w:val="002D0144"/>
    <w:rsid w:val="003E7132"/>
    <w:rsid w:val="00434F60"/>
    <w:rsid w:val="004B38E6"/>
    <w:rsid w:val="005A7673"/>
    <w:rsid w:val="007318F4"/>
    <w:rsid w:val="00893969"/>
    <w:rsid w:val="00904E9C"/>
    <w:rsid w:val="0096205F"/>
    <w:rsid w:val="009A7B0F"/>
    <w:rsid w:val="00AC2E7D"/>
    <w:rsid w:val="00B342B6"/>
    <w:rsid w:val="00C306F5"/>
    <w:rsid w:val="00D84CD5"/>
    <w:rsid w:val="00DF39D7"/>
    <w:rsid w:val="00E4467C"/>
    <w:rsid w:val="00FC61F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6D"/>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085C6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TableText">
    <w:name w:val="Table Text"/>
    <w:basedOn w:val="a"/>
    <w:rsid w:val="00085C6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85C6D"/>
  </w:style>
  <w:style w:type="paragraph" w:customStyle="1" w:styleId="TableBlock">
    <w:name w:val="Table Block"/>
    <w:basedOn w:val="TableText"/>
    <w:rsid w:val="00085C6D"/>
    <w:pPr>
      <w:ind w:right="0"/>
      <w:jc w:val="both"/>
    </w:pPr>
  </w:style>
  <w:style w:type="paragraph" w:customStyle="1" w:styleId="Hesber">
    <w:name w:val="Hesber"/>
    <w:basedOn w:val="a"/>
    <w:rsid w:val="00085C6D"/>
    <w:pPr>
      <w:snapToGrid w:val="0"/>
      <w:spacing w:before="0" w:line="360" w:lineRule="auto"/>
    </w:pPr>
    <w:rPr>
      <w:rFonts w:ascii="Arial" w:eastAsia="Arial Unicode MS" w:hAnsi="Arial" w:cs="David"/>
      <w:snapToGrid w:val="0"/>
      <w:spacing w:val="0"/>
      <w:sz w:val="20"/>
      <w:szCs w:val="26"/>
    </w:rPr>
  </w:style>
  <w:style w:type="paragraph" w:styleId="a3">
    <w:name w:val="footnote text"/>
    <w:basedOn w:val="a"/>
    <w:link w:val="a4"/>
    <w:autoRedefine/>
    <w:semiHidden/>
    <w:rsid w:val="00085C6D"/>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4">
    <w:name w:val="טקסט הערת שוליים תו"/>
    <w:basedOn w:val="a0"/>
    <w:link w:val="a3"/>
    <w:semiHidden/>
    <w:rsid w:val="00085C6D"/>
    <w:rPr>
      <w:rFonts w:ascii="Arial" w:eastAsia="Arial Unicode MS" w:hAnsi="Arial" w:cs="David"/>
      <w:snapToGrid w:val="0"/>
      <w:color w:val="000000"/>
      <w:sz w:val="14"/>
      <w:szCs w:val="20"/>
      <w:lang w:eastAsia="ja-JP"/>
    </w:rPr>
  </w:style>
  <w:style w:type="character" w:styleId="a5">
    <w:name w:val="footnote reference"/>
    <w:aliases w:val="Footnote Reference"/>
    <w:basedOn w:val="a0"/>
    <w:semiHidden/>
    <w:rsid w:val="00085C6D"/>
    <w:rPr>
      <w:vertAlign w:val="superscript"/>
    </w:rPr>
  </w:style>
  <w:style w:type="paragraph" w:customStyle="1" w:styleId="TableBlockOutdent">
    <w:name w:val="Table BlockOutdent"/>
    <w:basedOn w:val="TableBlock"/>
    <w:rsid w:val="00085C6D"/>
    <w:pPr>
      <w:ind w:left="624" w:hanging="624"/>
    </w:pPr>
  </w:style>
  <w:style w:type="paragraph" w:styleId="a6">
    <w:name w:val="footer"/>
    <w:basedOn w:val="a"/>
    <w:link w:val="a7"/>
    <w:rsid w:val="00085C6D"/>
    <w:pPr>
      <w:tabs>
        <w:tab w:val="center" w:pos="4153"/>
        <w:tab w:val="right" w:pos="8306"/>
      </w:tabs>
    </w:pPr>
  </w:style>
  <w:style w:type="character" w:customStyle="1" w:styleId="a7">
    <w:name w:val="כותרת תחתונה תו"/>
    <w:basedOn w:val="a0"/>
    <w:link w:val="a6"/>
    <w:rsid w:val="00085C6D"/>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085C6D"/>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8">
    <w:name w:val="page number"/>
    <w:basedOn w:val="a0"/>
    <w:rsid w:val="00085C6D"/>
  </w:style>
  <w:style w:type="paragraph" w:customStyle="1" w:styleId="David">
    <w:name w:val="רגיל + (עברית ושפות אחרות) David"/>
    <w:aliases w:val="‏13 נק',מודגש,אחרי:  6 נק'"/>
    <w:basedOn w:val="a"/>
    <w:rsid w:val="00085C6D"/>
    <w:pPr>
      <w:ind w:firstLine="0"/>
      <w:jc w:val="left"/>
    </w:pPr>
    <w:rPr>
      <w:rFonts w:cs="David"/>
      <w:sz w:val="26"/>
      <w:szCs w:val="26"/>
    </w:rPr>
  </w:style>
  <w:style w:type="paragraph" w:styleId="a9">
    <w:name w:val="Balloon Text"/>
    <w:basedOn w:val="a"/>
    <w:link w:val="aa"/>
    <w:uiPriority w:val="99"/>
    <w:semiHidden/>
    <w:unhideWhenUsed/>
    <w:rsid w:val="003E7132"/>
    <w:pPr>
      <w:spacing w:before="0" w:line="240" w:lineRule="auto"/>
    </w:pPr>
    <w:rPr>
      <w:rFonts w:ascii="Tahoma" w:hAnsi="Tahoma" w:cs="Tahoma"/>
      <w:sz w:val="18"/>
      <w:szCs w:val="18"/>
    </w:rPr>
  </w:style>
  <w:style w:type="character" w:customStyle="1" w:styleId="aa">
    <w:name w:val="טקסט בלונים תו"/>
    <w:basedOn w:val="a0"/>
    <w:link w:val="a9"/>
    <w:uiPriority w:val="99"/>
    <w:semiHidden/>
    <w:rsid w:val="003E7132"/>
    <w:rPr>
      <w:rFonts w:ascii="Tahoma" w:eastAsia="MS Mincho" w:hAnsi="Tahoma" w:cs="Tahoma"/>
      <w:color w:val="000000"/>
      <w:spacing w:val="1"/>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FB6CA-B026-4E26-869A-1858E5FF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AAF928-B671-4C07-AC17-6B992206781A}">
  <ds:schemaRefs>
    <ds:schemaRef ds:uri="http://schemas.microsoft.com/sharepoint/v3/contenttype/forms"/>
  </ds:schemaRefs>
</ds:datastoreItem>
</file>

<file path=customXml/itemProps3.xml><?xml version="1.0" encoding="utf-8"?>
<ds:datastoreItem xmlns:ds="http://schemas.openxmlformats.org/officeDocument/2006/customXml" ds:itemID="{F1760B45-00C9-455E-9C12-B4E9B3BBE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2619</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Knesset of Israel</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מרב תורג'מן</dc:creator>
  <cp:lastModifiedBy>Lior Weitz</cp:lastModifiedBy>
  <cp:revision>2</cp:revision>
  <cp:lastPrinted>2017-07-18T14:25:00Z</cp:lastPrinted>
  <dcterms:created xsi:type="dcterms:W3CDTF">2017-07-20T10:44:00Z</dcterms:created>
  <dcterms:modified xsi:type="dcterms:W3CDTF">2017-07-20T10:44:00Z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369d6e46-0eaa-42c8-b443-277ea03e606a</vt:lpwstr>
  </property>
  <property fmtid="{D5CDD505-2E9C-101B-9397-08002B2CF9AE}" pid="4" name="_docset_NoMedatataSyncRequired">
    <vt:lpwstr>False</vt:lpwstr>
  </property>
  <property fmtid="{D5CDD505-2E9C-101B-9397-08002B2CF9AE}" pid="5" name="SanhedrinDocumentType">
    <vt:r8>88</vt:r8>
  </property>
  <property fmtid="{D5CDD505-2E9C-101B-9397-08002B2CF9AE}" pid="6" name="SanhedrinItemID">
    <vt:r8>2019884</vt:r8>
  </property>
</Properties>
</file>